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F8" w:rsidRDefault="00427762" w:rsidP="00427762">
      <w:pPr>
        <w:autoSpaceDE w:val="0"/>
        <w:autoSpaceDN w:val="0"/>
        <w:adjustRightInd w:val="0"/>
        <w:spacing w:before="120" w:after="120" w:line="360" w:lineRule="auto"/>
        <w:jc w:val="center"/>
        <w:rPr>
          <w:rFonts w:ascii="Times New Roman" w:hAnsi="Times New Roman" w:cs="Times New Roman"/>
          <w:b/>
          <w:bCs/>
          <w:sz w:val="24"/>
          <w:szCs w:val="24"/>
        </w:rPr>
      </w:pPr>
      <w:r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14:anchorId="1A79CAC7" wp14:editId="4D64EE10">
                <wp:simplePos x="0" y="0"/>
                <wp:positionH relativeFrom="column">
                  <wp:posOffset>-4445</wp:posOffset>
                </wp:positionH>
                <wp:positionV relativeFrom="paragraph">
                  <wp:posOffset>-756920</wp:posOffset>
                </wp:positionV>
                <wp:extent cx="1162050" cy="10953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95375"/>
                        </a:xfrm>
                        <a:prstGeom prst="rect">
                          <a:avLst/>
                        </a:prstGeom>
                        <a:solidFill>
                          <a:srgbClr val="FFFFFF"/>
                        </a:solidFill>
                        <a:ln w="9525">
                          <a:noFill/>
                          <a:miter lim="800000"/>
                          <a:headEnd/>
                          <a:tailEnd/>
                        </a:ln>
                      </wps:spPr>
                      <wps:txbx>
                        <w:txbxContent>
                          <w:p w:rsidR="00427762" w:rsidRDefault="00427762" w:rsidP="00427762">
                            <w:r>
                              <w:rPr>
                                <w:noProof/>
                                <w:lang w:eastAsia="tr-TR"/>
                              </w:rPr>
                              <w:drawing>
                                <wp:inline distT="0" distB="0" distL="0" distR="0" wp14:anchorId="150505CC" wp14:editId="7CBC2172">
                                  <wp:extent cx="971550" cy="971550"/>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9" name="Picture 5"/>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9CAC7" id="_x0000_t202" coordsize="21600,21600" o:spt="202" path="m,l,21600r21600,l21600,xe">
                <v:stroke joinstyle="miter"/>
                <v:path gradientshapeok="t" o:connecttype="rect"/>
              </v:shapetype>
              <v:shape id="Text Box 5" o:spid="_x0000_s1026" type="#_x0000_t202" style="position:absolute;left:0;text-align:left;margin-left:-.35pt;margin-top:-59.6pt;width:91.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" stroked="f">
                <v:textbox>
                  <w:txbxContent>
                    <w:p w:rsidR="00427762" w:rsidRDefault="00427762" w:rsidP="00427762">
                      <w:r>
                        <w:rPr>
                          <w:noProof/>
                          <w:lang w:eastAsia="tr-TR"/>
                        </w:rPr>
                        <w:drawing>
                          <wp:inline distT="0" distB="0" distL="0" distR="0" wp14:anchorId="150505CC" wp14:editId="7CBC2172">
                            <wp:extent cx="971550" cy="971550"/>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9"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a:extLst/>
                                  </pic:spPr>
                                </pic:pic>
                              </a:graphicData>
                            </a:graphic>
                          </wp:inline>
                        </w:drawing>
                      </w:r>
                    </w:p>
                  </w:txbxContent>
                </v:textbox>
              </v:shape>
            </w:pict>
          </mc:Fallback>
        </mc:AlternateContent>
      </w:r>
      <w:r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56192" behindDoc="0" locked="0" layoutInCell="1" allowOverlap="1" wp14:anchorId="03304F87" wp14:editId="6F67A6D6">
                <wp:simplePos x="0" y="0"/>
                <wp:positionH relativeFrom="column">
                  <wp:posOffset>4781550</wp:posOffset>
                </wp:positionH>
                <wp:positionV relativeFrom="paragraph">
                  <wp:posOffset>-742950</wp:posOffset>
                </wp:positionV>
                <wp:extent cx="1162050" cy="10572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57275"/>
                        </a:xfrm>
                        <a:prstGeom prst="rect">
                          <a:avLst/>
                        </a:prstGeom>
                        <a:solidFill>
                          <a:srgbClr val="FFFFFF"/>
                        </a:solidFill>
                        <a:ln w="9525">
                          <a:noFill/>
                          <a:miter lim="800000"/>
                          <a:headEnd/>
                          <a:tailEnd/>
                        </a:ln>
                      </wps:spPr>
                      <wps:txbx>
                        <w:txbxContent>
                          <w:p w:rsidR="00427762" w:rsidRDefault="00427762" w:rsidP="00427762">
                            <w:r>
                              <w:rPr>
                                <w:rFonts w:ascii="Times New Roman" w:hAnsi="Times New Roman" w:cs="Times New Roman"/>
                                <w:b/>
                                <w:bCs/>
                                <w:noProof/>
                                <w:sz w:val="24"/>
                                <w:szCs w:val="24"/>
                                <w:lang w:eastAsia="tr-TR"/>
                              </w:rPr>
                              <w:drawing>
                                <wp:inline distT="0" distB="0" distL="0" distR="0" wp14:anchorId="01349BC5" wp14:editId="5A489527">
                                  <wp:extent cx="998855" cy="10096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855" cy="1009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4F87" id="_x0000_s1027" type="#_x0000_t202" style="position:absolute;left:0;text-align:left;margin-left:376.5pt;margin-top:-58.5pt;width:91.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" stroked="f">
                <v:textbox>
                  <w:txbxContent>
                    <w:p w:rsidR="00427762" w:rsidRDefault="00427762" w:rsidP="00427762">
                      <w:r>
                        <w:rPr>
                          <w:rFonts w:ascii="Times New Roman" w:hAnsi="Times New Roman" w:cs="Times New Roman"/>
                          <w:b/>
                          <w:bCs/>
                          <w:noProof/>
                          <w:sz w:val="24"/>
                          <w:szCs w:val="24"/>
                          <w:lang w:eastAsia="tr-TR"/>
                        </w:rPr>
                        <w:drawing>
                          <wp:inline distT="0" distB="0" distL="0" distR="0" wp14:anchorId="01349BC5" wp14:editId="5A489527">
                            <wp:extent cx="998855" cy="10096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1009650"/>
                                    </a:xfrm>
                                    <a:prstGeom prst="rect">
                                      <a:avLst/>
                                    </a:prstGeom>
                                    <a:noFill/>
                                  </pic:spPr>
                                </pic:pic>
                              </a:graphicData>
                            </a:graphic>
                          </wp:inline>
                        </w:drawing>
                      </w:r>
                    </w:p>
                  </w:txbxContent>
                </v:textbox>
              </v:shape>
            </w:pict>
          </mc:Fallback>
        </mc:AlternateContent>
      </w:r>
    </w:p>
    <w:p w:rsidR="00025708" w:rsidRDefault="00025708" w:rsidP="00025708">
      <w:pPr>
        <w:autoSpaceDE w:val="0"/>
        <w:autoSpaceDN w:val="0"/>
        <w:adjustRightInd w:val="0"/>
        <w:spacing w:after="0" w:line="240" w:lineRule="auto"/>
        <w:jc w:val="center"/>
        <w:rPr>
          <w:rFonts w:ascii="Times New Roman" w:hAnsi="Times New Roman" w:cs="Times New Roman"/>
          <w:b/>
          <w:bCs/>
          <w:sz w:val="24"/>
          <w:szCs w:val="24"/>
        </w:rPr>
      </w:pPr>
      <w:r w:rsidRPr="00025708">
        <w:rPr>
          <w:rFonts w:ascii="Times New Roman" w:hAnsi="Times New Roman" w:cs="Times New Roman"/>
          <w:b/>
          <w:bCs/>
          <w:sz w:val="24"/>
          <w:szCs w:val="24"/>
        </w:rPr>
        <w:t>İstanbul Üniversitesi - Cerrahpaşa Lisansüstü Eğitim Ve Öğretim Yönetmeliği</w:t>
      </w:r>
    </w:p>
    <w:p w:rsidR="00025708" w:rsidRDefault="00025708" w:rsidP="00025708">
      <w:pPr>
        <w:autoSpaceDE w:val="0"/>
        <w:autoSpaceDN w:val="0"/>
        <w:adjustRightInd w:val="0"/>
        <w:spacing w:after="0" w:line="240" w:lineRule="auto"/>
        <w:jc w:val="center"/>
        <w:rPr>
          <w:rFonts w:ascii="Times New Roman" w:hAnsi="Times New Roman" w:cs="Times New Roman"/>
          <w:b/>
          <w:bCs/>
          <w:sz w:val="24"/>
          <w:szCs w:val="24"/>
        </w:rPr>
      </w:pPr>
      <w:r w:rsidRPr="00025708">
        <w:rPr>
          <w:rFonts w:ascii="Times New Roman" w:hAnsi="Times New Roman" w:cs="Times New Roman"/>
          <w:b/>
          <w:bCs/>
          <w:sz w:val="24"/>
          <w:szCs w:val="24"/>
        </w:rPr>
        <w:t>Resmi Gazete Tarihi: 29.08.2018 Resmi Gazete Sayısı: 30520</w:t>
      </w:r>
    </w:p>
    <w:p w:rsidR="00025708" w:rsidRDefault="00025708" w:rsidP="00025708">
      <w:pPr>
        <w:autoSpaceDE w:val="0"/>
        <w:autoSpaceDN w:val="0"/>
        <w:adjustRightInd w:val="0"/>
        <w:spacing w:after="0" w:line="240" w:lineRule="auto"/>
        <w:jc w:val="center"/>
        <w:rPr>
          <w:rFonts w:ascii="Times New Roman" w:hAnsi="Times New Roman" w:cs="Times New Roman"/>
          <w:b/>
          <w:bCs/>
          <w:sz w:val="24"/>
          <w:szCs w:val="24"/>
        </w:rPr>
      </w:pPr>
      <w:r w:rsidRPr="008352F8">
        <w:rPr>
          <w:rFonts w:ascii="Times New Roman" w:hAnsi="Times New Roman" w:cs="Times New Roman"/>
          <w:b/>
          <w:bCs/>
          <w:sz w:val="24"/>
          <w:szCs w:val="24"/>
        </w:rPr>
        <w:t>Danışman Atama İlkeleri</w:t>
      </w:r>
    </w:p>
    <w:p w:rsidR="00FD1AE3" w:rsidRDefault="00387B61" w:rsidP="00025708">
      <w:pPr>
        <w:autoSpaceDE w:val="0"/>
        <w:autoSpaceDN w:val="0"/>
        <w:adjustRightInd w:val="0"/>
        <w:spacing w:before="120" w:after="120" w:line="360" w:lineRule="auto"/>
        <w:jc w:val="both"/>
        <w:rPr>
          <w:rFonts w:ascii="Times New Roman" w:hAnsi="Times New Roman" w:cs="Times New Roman"/>
          <w:bCs/>
          <w:sz w:val="24"/>
          <w:szCs w:val="24"/>
        </w:rPr>
      </w:pPr>
      <w:r w:rsidRPr="00387B61">
        <w:rPr>
          <w:rFonts w:ascii="Times New Roman" w:hAnsi="Times New Roman" w:cs="Times New Roman"/>
          <w:b/>
          <w:bCs/>
          <w:sz w:val="24"/>
          <w:szCs w:val="24"/>
        </w:rPr>
        <w:t xml:space="preserve">MADDE 22 – (1) </w:t>
      </w:r>
      <w:r w:rsidRPr="00387B61">
        <w:rPr>
          <w:rFonts w:ascii="Times New Roman" w:hAnsi="Times New Roman" w:cs="Times New Roman"/>
          <w:bCs/>
          <w:sz w:val="24"/>
          <w:szCs w:val="24"/>
        </w:rPr>
        <w:t xml:space="preserve">Anabilim/bilim dalı/program başkanlıkları, öğrencilerin tercihlerini ve ilgili öğretim üyelerinin görüşlerini dikkate alarak danışman önerilerini ilgili yarıyıllarda enstitülere gönderir. Danışman ataması, ilgili enstitü yönetim kurulu kararıyla kesinleşir. Danışman önerisinin uygun görülmemesi veya önerinin zamanında yapılmaması halinde ilgili enstitü yönetim kurulu doğrudan danışman atayabilir. </w:t>
      </w:r>
      <w:r w:rsidRPr="00387B61">
        <w:rPr>
          <w:rFonts w:ascii="Times New Roman" w:hAnsi="Times New Roman" w:cs="Times New Roman"/>
          <w:b/>
          <w:bCs/>
          <w:sz w:val="24"/>
          <w:szCs w:val="24"/>
        </w:rPr>
        <w:t>(2)</w:t>
      </w:r>
      <w:r w:rsidRPr="00387B61">
        <w:rPr>
          <w:rFonts w:ascii="Times New Roman" w:hAnsi="Times New Roman" w:cs="Times New Roman"/>
          <w:bCs/>
          <w:sz w:val="24"/>
          <w:szCs w:val="24"/>
        </w:rPr>
        <w:t xml:space="preserve"> Tezsiz yüksek lisans programında dönem projesi danışmanı, ilgili programda ders veren ve Üniversite kadrosunda bulunan öğretim üyeleri veya doktora derecesine sahip öğretim görevlileri arasından atanır</w:t>
      </w:r>
      <w:r>
        <w:rPr>
          <w:rFonts w:ascii="Times New Roman" w:hAnsi="Times New Roman" w:cs="Times New Roman"/>
          <w:bCs/>
          <w:sz w:val="24"/>
          <w:szCs w:val="24"/>
        </w:rPr>
        <w:t>.</w:t>
      </w:r>
      <w:r w:rsidRPr="00387B61">
        <w:t xml:space="preserve"> </w:t>
      </w:r>
      <w:r w:rsidRPr="00387B61">
        <w:rPr>
          <w:rFonts w:ascii="Times New Roman" w:hAnsi="Times New Roman" w:cs="Times New Roman"/>
          <w:b/>
          <w:bCs/>
          <w:sz w:val="24"/>
          <w:szCs w:val="24"/>
        </w:rPr>
        <w:t>(3)</w:t>
      </w:r>
      <w:r w:rsidRPr="00387B61">
        <w:rPr>
          <w:rFonts w:ascii="Times New Roman" w:hAnsi="Times New Roman" w:cs="Times New Roman"/>
          <w:bCs/>
          <w:sz w:val="24"/>
          <w:szCs w:val="24"/>
        </w:rPr>
        <w:t xml:space="preserve"> Tezli yüksek lisans programında tez danışmanı, Üniversite kadrosunda bulunan ve en az iki yarıyıl süreyle bir lisans/lisansüstü programında ders vermiş olan öğretim üyeleri arasından atanır. </w:t>
      </w:r>
      <w:r w:rsidRPr="00387B61">
        <w:rPr>
          <w:rFonts w:ascii="Times New Roman" w:hAnsi="Times New Roman" w:cs="Times New Roman"/>
          <w:b/>
          <w:bCs/>
          <w:sz w:val="24"/>
          <w:szCs w:val="24"/>
        </w:rPr>
        <w:t>(4)</w:t>
      </w:r>
      <w:r w:rsidRPr="00387B61">
        <w:rPr>
          <w:rFonts w:ascii="Times New Roman" w:hAnsi="Times New Roman" w:cs="Times New Roman"/>
          <w:bCs/>
          <w:sz w:val="24"/>
          <w:szCs w:val="24"/>
        </w:rPr>
        <w:t xml:space="preserve"> Diş hekimliği, eczacılık, tıp ve veterinerlik alanlarındaki anabilim dalları hariç doktora programında tez danışmanı, en az dört yarıyıl süreyle bir lisans programında veya iki yarıyıl süreyle yüksek lisans programında ders vermiş ve bir yüksek lisans tezi yönetmiş olan ve Üniversite kadrosunda bulunan öğretim üyeleri arasından atanır. </w:t>
      </w:r>
    </w:p>
    <w:p w:rsidR="00246584" w:rsidRPr="00387B61" w:rsidRDefault="00FD1AE3" w:rsidP="00025708">
      <w:pPr>
        <w:autoSpaceDE w:val="0"/>
        <w:autoSpaceDN w:val="0"/>
        <w:adjustRightInd w:val="0"/>
        <w:spacing w:before="120" w:after="120" w:line="360" w:lineRule="auto"/>
        <w:jc w:val="both"/>
        <w:rPr>
          <w:rFonts w:ascii="Times New Roman" w:hAnsi="Times New Roman" w:cs="Times New Roman"/>
          <w:bCs/>
          <w:sz w:val="24"/>
          <w:szCs w:val="24"/>
        </w:rPr>
      </w:pPr>
      <w:r w:rsidRPr="00387B61">
        <w:rPr>
          <w:rFonts w:ascii="Times New Roman" w:hAnsi="Times New Roman" w:cs="Times New Roman"/>
          <w:b/>
          <w:bCs/>
          <w:sz w:val="24"/>
          <w:szCs w:val="24"/>
        </w:rPr>
        <w:t xml:space="preserve">MADDE 22 </w:t>
      </w:r>
      <w:r w:rsidR="00387B61" w:rsidRPr="00387B61">
        <w:rPr>
          <w:rFonts w:ascii="Times New Roman" w:hAnsi="Times New Roman" w:cs="Times New Roman"/>
          <w:b/>
          <w:bCs/>
          <w:sz w:val="24"/>
          <w:szCs w:val="24"/>
        </w:rPr>
        <w:t>(5)</w:t>
      </w:r>
      <w:r w:rsidR="00387B61" w:rsidRPr="00387B61">
        <w:rPr>
          <w:rFonts w:ascii="Times New Roman" w:hAnsi="Times New Roman" w:cs="Times New Roman"/>
          <w:bCs/>
          <w:sz w:val="24"/>
          <w:szCs w:val="24"/>
        </w:rPr>
        <w:t xml:space="preserve"> Tez çalışmasının niteliğinin birden fazla tez danışmanı gerektirdiği durumlarda atanacak ikinci tez danışmanı, Üniversite kadrosu dışından da en az doktora derecesine sahip </w:t>
      </w:r>
      <w:bookmarkStart w:id="0" w:name="_GoBack"/>
      <w:r w:rsidR="00387B61" w:rsidRPr="00387B61">
        <w:rPr>
          <w:rFonts w:ascii="Times New Roman" w:hAnsi="Times New Roman" w:cs="Times New Roman"/>
          <w:bCs/>
          <w:sz w:val="24"/>
          <w:szCs w:val="24"/>
        </w:rPr>
        <w:t>kişilerden olabilir.</w:t>
      </w:r>
    </w:p>
    <w:bookmarkEnd w:id="0"/>
    <w:p w:rsidR="00246584" w:rsidRDefault="00246584" w:rsidP="00025708">
      <w:pPr>
        <w:autoSpaceDE w:val="0"/>
        <w:autoSpaceDN w:val="0"/>
        <w:adjustRightInd w:val="0"/>
        <w:spacing w:before="120" w:after="120" w:line="360" w:lineRule="auto"/>
        <w:jc w:val="center"/>
        <w:rPr>
          <w:rFonts w:ascii="Times New Roman" w:hAnsi="Times New Roman" w:cs="Times New Roman"/>
          <w:b/>
          <w:sz w:val="24"/>
          <w:szCs w:val="24"/>
        </w:rPr>
      </w:pPr>
      <w:r w:rsidRPr="00246584">
        <w:rPr>
          <w:rFonts w:ascii="Times New Roman" w:hAnsi="Times New Roman" w:cs="Times New Roman"/>
          <w:b/>
          <w:sz w:val="24"/>
          <w:szCs w:val="24"/>
        </w:rPr>
        <w:t>Tezli Yüksek Lisans Programında Danışman Ataması</w:t>
      </w:r>
    </w:p>
    <w:p w:rsidR="00427762" w:rsidRPr="00427762" w:rsidRDefault="00427762" w:rsidP="00025708">
      <w:pPr>
        <w:autoSpaceDE w:val="0"/>
        <w:autoSpaceDN w:val="0"/>
        <w:adjustRightInd w:val="0"/>
        <w:spacing w:before="120" w:after="120" w:line="360" w:lineRule="auto"/>
        <w:jc w:val="both"/>
        <w:rPr>
          <w:rFonts w:ascii="Times New Roman" w:hAnsi="Times New Roman" w:cs="Times New Roman"/>
          <w:b/>
          <w:bCs/>
          <w:sz w:val="24"/>
          <w:szCs w:val="24"/>
        </w:rPr>
      </w:pPr>
      <w:r w:rsidRPr="00427762">
        <w:rPr>
          <w:rFonts w:ascii="Times New Roman" w:hAnsi="Times New Roman" w:cs="Times New Roman"/>
          <w:b/>
          <w:bCs/>
          <w:sz w:val="24"/>
          <w:szCs w:val="24"/>
        </w:rPr>
        <w:t>MADDE 32 – (1)</w:t>
      </w:r>
      <w:r w:rsidRPr="00427762">
        <w:rPr>
          <w:rFonts w:ascii="Times New Roman" w:hAnsi="Times New Roman" w:cs="Times New Roman"/>
          <w:bCs/>
          <w:sz w:val="24"/>
          <w:szCs w:val="24"/>
        </w:rPr>
        <w:t xml:space="preserve"> Tez danışmanı en geç birinci yarıyılın sonuna kadar, 22 </w:t>
      </w:r>
      <w:proofErr w:type="spellStart"/>
      <w:r w:rsidRPr="00427762">
        <w:rPr>
          <w:rFonts w:ascii="Times New Roman" w:hAnsi="Times New Roman" w:cs="Times New Roman"/>
          <w:bCs/>
          <w:sz w:val="24"/>
          <w:szCs w:val="24"/>
        </w:rPr>
        <w:t>nci</w:t>
      </w:r>
      <w:proofErr w:type="spellEnd"/>
      <w:r w:rsidRPr="00427762">
        <w:rPr>
          <w:rFonts w:ascii="Times New Roman" w:hAnsi="Times New Roman" w:cs="Times New Roman"/>
          <w:bCs/>
          <w:sz w:val="24"/>
          <w:szCs w:val="24"/>
        </w:rPr>
        <w:t xml:space="preserve"> maddeye göre atanır. </w:t>
      </w:r>
      <w:r w:rsidRPr="00427762">
        <w:rPr>
          <w:rFonts w:ascii="Times New Roman" w:hAnsi="Times New Roman" w:cs="Times New Roman"/>
          <w:b/>
          <w:bCs/>
          <w:sz w:val="24"/>
          <w:szCs w:val="24"/>
        </w:rPr>
        <w:t>(2)</w:t>
      </w:r>
      <w:r w:rsidRPr="00427762">
        <w:rPr>
          <w:rFonts w:ascii="Times New Roman" w:hAnsi="Times New Roman" w:cs="Times New Roman"/>
          <w:bCs/>
          <w:sz w:val="24"/>
          <w:szCs w:val="24"/>
        </w:rPr>
        <w:t xml:space="preserve"> Tez danışmanının öğrenciyle beraber belirlediği tez konusu, en geç ikinci yarıyılın sonuna kadar anabilim/bilim dalı ve program başkanlığı tarafından enstitüye önerilir. Tez konusunun uygun görülmemesi halinde, ilgili enstitü yönetim kurulu değişiklik talep eder. </w:t>
      </w:r>
      <w:r w:rsidRPr="00427762">
        <w:rPr>
          <w:rFonts w:ascii="Times New Roman" w:hAnsi="Times New Roman" w:cs="Times New Roman"/>
          <w:b/>
          <w:bCs/>
          <w:sz w:val="24"/>
          <w:szCs w:val="24"/>
        </w:rPr>
        <w:t>(3)</w:t>
      </w:r>
      <w:r w:rsidRPr="00427762">
        <w:rPr>
          <w:rFonts w:ascii="Times New Roman" w:hAnsi="Times New Roman" w:cs="Times New Roman"/>
          <w:bCs/>
          <w:sz w:val="24"/>
          <w:szCs w:val="24"/>
        </w:rPr>
        <w:t xml:space="preserve"> Tez danışmanı ile tez konusu ve tez başlığı enstitü yönetim kurulu onayı ile kesinleşir.</w:t>
      </w:r>
    </w:p>
    <w:p w:rsidR="00246584" w:rsidRDefault="00246584" w:rsidP="00025708">
      <w:pPr>
        <w:autoSpaceDE w:val="0"/>
        <w:autoSpaceDN w:val="0"/>
        <w:adjustRightInd w:val="0"/>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Tezsiz</w:t>
      </w:r>
      <w:r w:rsidRPr="00246584">
        <w:rPr>
          <w:rFonts w:ascii="Times New Roman" w:hAnsi="Times New Roman" w:cs="Times New Roman"/>
          <w:b/>
          <w:sz w:val="24"/>
          <w:szCs w:val="24"/>
        </w:rPr>
        <w:t xml:space="preserve"> Yüksek Lisans Programında Danışman Ataması</w:t>
      </w:r>
    </w:p>
    <w:p w:rsidR="00246584" w:rsidRDefault="00427762" w:rsidP="00025708">
      <w:pPr>
        <w:autoSpaceDE w:val="0"/>
        <w:autoSpaceDN w:val="0"/>
        <w:adjustRightInd w:val="0"/>
        <w:spacing w:before="120" w:after="120" w:line="360" w:lineRule="auto"/>
        <w:jc w:val="both"/>
        <w:rPr>
          <w:rFonts w:ascii="Times New Roman" w:hAnsi="Times New Roman" w:cs="Times New Roman"/>
          <w:sz w:val="24"/>
          <w:szCs w:val="24"/>
        </w:rPr>
      </w:pPr>
      <w:r w:rsidRPr="00427762">
        <w:rPr>
          <w:rFonts w:ascii="Times New Roman" w:hAnsi="Times New Roman" w:cs="Times New Roman"/>
          <w:b/>
          <w:bCs/>
          <w:sz w:val="24"/>
          <w:szCs w:val="24"/>
        </w:rPr>
        <w:t xml:space="preserve">MADDE 39 – (1) </w:t>
      </w:r>
      <w:r w:rsidRPr="00427762">
        <w:rPr>
          <w:rFonts w:ascii="Times New Roman" w:hAnsi="Times New Roman" w:cs="Times New Roman"/>
          <w:bCs/>
          <w:sz w:val="24"/>
          <w:szCs w:val="24"/>
        </w:rPr>
        <w:t xml:space="preserve">Her bir öğrenci için danışman önerisi ve ataması en geç birinci yarıyılın sonuna kadar, 22 </w:t>
      </w:r>
      <w:proofErr w:type="spellStart"/>
      <w:r w:rsidRPr="00427762">
        <w:rPr>
          <w:rFonts w:ascii="Times New Roman" w:hAnsi="Times New Roman" w:cs="Times New Roman"/>
          <w:bCs/>
          <w:sz w:val="24"/>
          <w:szCs w:val="24"/>
        </w:rPr>
        <w:t>nci</w:t>
      </w:r>
      <w:proofErr w:type="spellEnd"/>
      <w:r w:rsidRPr="00427762">
        <w:rPr>
          <w:rFonts w:ascii="Times New Roman" w:hAnsi="Times New Roman" w:cs="Times New Roman"/>
          <w:bCs/>
          <w:sz w:val="24"/>
          <w:szCs w:val="24"/>
        </w:rPr>
        <w:t xml:space="preserve"> maddeye göre yapılır.</w:t>
      </w:r>
    </w:p>
    <w:p w:rsidR="00246584" w:rsidRDefault="00246584" w:rsidP="00025708">
      <w:pPr>
        <w:autoSpaceDE w:val="0"/>
        <w:autoSpaceDN w:val="0"/>
        <w:adjustRightInd w:val="0"/>
        <w:spacing w:before="120" w:after="120" w:line="360" w:lineRule="auto"/>
        <w:jc w:val="center"/>
        <w:rPr>
          <w:rFonts w:ascii="Times New Roman" w:hAnsi="Times New Roman" w:cs="Times New Roman"/>
          <w:b/>
          <w:sz w:val="24"/>
          <w:szCs w:val="24"/>
        </w:rPr>
      </w:pPr>
      <w:r w:rsidRPr="00246584">
        <w:rPr>
          <w:rFonts w:ascii="Times New Roman" w:hAnsi="Times New Roman" w:cs="Times New Roman"/>
          <w:b/>
          <w:sz w:val="24"/>
          <w:szCs w:val="24"/>
        </w:rPr>
        <w:t>Doktora Programında Danışman Ataması</w:t>
      </w:r>
    </w:p>
    <w:p w:rsidR="00246584" w:rsidRPr="00427762" w:rsidRDefault="00427762" w:rsidP="00025708">
      <w:pPr>
        <w:autoSpaceDE w:val="0"/>
        <w:autoSpaceDN w:val="0"/>
        <w:adjustRightInd w:val="0"/>
        <w:spacing w:before="120" w:after="120" w:line="360" w:lineRule="auto"/>
        <w:jc w:val="both"/>
        <w:rPr>
          <w:rFonts w:ascii="Times New Roman" w:hAnsi="Times New Roman" w:cs="Times New Roman"/>
          <w:sz w:val="24"/>
          <w:szCs w:val="24"/>
        </w:rPr>
      </w:pPr>
      <w:r w:rsidRPr="00427762">
        <w:rPr>
          <w:rFonts w:ascii="Times New Roman" w:hAnsi="Times New Roman" w:cs="Times New Roman"/>
          <w:b/>
          <w:bCs/>
          <w:sz w:val="24"/>
          <w:szCs w:val="24"/>
        </w:rPr>
        <w:t xml:space="preserve">MADDE 45 – (1) </w:t>
      </w:r>
      <w:r w:rsidRPr="00427762">
        <w:rPr>
          <w:rFonts w:ascii="Times New Roman" w:hAnsi="Times New Roman" w:cs="Times New Roman"/>
          <w:bCs/>
          <w:sz w:val="24"/>
          <w:szCs w:val="24"/>
        </w:rPr>
        <w:t xml:space="preserve">Enstitü anabilim dalı başkanlığı her öğrenci için bir tez danışmanını enstitüye önerir. Tez danışmanı enstitü yönetim kurulu kararıyla kesinleşir. Danışman ataması, yüksek lisans </w:t>
      </w:r>
      <w:r w:rsidRPr="00427762">
        <w:rPr>
          <w:rFonts w:ascii="Times New Roman" w:hAnsi="Times New Roman" w:cs="Times New Roman"/>
          <w:bCs/>
          <w:sz w:val="24"/>
          <w:szCs w:val="24"/>
        </w:rPr>
        <w:lastRenderedPageBreak/>
        <w:t xml:space="preserve">derecesi ile kabul edilenler için en geç ikinci yarıyılın sonuna kadar; dört yıllık lisans derecesi ile kabul edilenler için ise en geç dördüncü yarıyılın sonuna kadar 22 </w:t>
      </w:r>
      <w:proofErr w:type="spellStart"/>
      <w:r w:rsidRPr="00427762">
        <w:rPr>
          <w:rFonts w:ascii="Times New Roman" w:hAnsi="Times New Roman" w:cs="Times New Roman"/>
          <w:bCs/>
          <w:sz w:val="24"/>
          <w:szCs w:val="24"/>
        </w:rPr>
        <w:t>nci</w:t>
      </w:r>
      <w:proofErr w:type="spellEnd"/>
      <w:r w:rsidRPr="00427762">
        <w:rPr>
          <w:rFonts w:ascii="Times New Roman" w:hAnsi="Times New Roman" w:cs="Times New Roman"/>
          <w:bCs/>
          <w:sz w:val="24"/>
          <w:szCs w:val="24"/>
        </w:rPr>
        <w:t xml:space="preserve"> maddeye göre yapılır.</w:t>
      </w:r>
    </w:p>
    <w:sectPr w:rsidR="00246584" w:rsidRPr="00427762" w:rsidSect="00246584">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11"/>
    <w:rsid w:val="00025708"/>
    <w:rsid w:val="00246584"/>
    <w:rsid w:val="002B7855"/>
    <w:rsid w:val="00387B61"/>
    <w:rsid w:val="00427762"/>
    <w:rsid w:val="00583C11"/>
    <w:rsid w:val="00584877"/>
    <w:rsid w:val="00602B09"/>
    <w:rsid w:val="008352F8"/>
    <w:rsid w:val="009F216A"/>
    <w:rsid w:val="00FD1A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3CAE"/>
  <w15:docId w15:val="{9B45EB67-6FE4-4E79-A3F8-5EF3631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6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2251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PROF.DR.ALPER BARAN</dc:creator>
  <cp:keywords/>
  <dc:description/>
  <cp:lastModifiedBy>Alper Baran</cp:lastModifiedBy>
  <cp:revision>5</cp:revision>
  <cp:lastPrinted>2018-11-11T16:06:00Z</cp:lastPrinted>
  <dcterms:created xsi:type="dcterms:W3CDTF">2018-11-11T16:06:00Z</dcterms:created>
  <dcterms:modified xsi:type="dcterms:W3CDTF">2018-11-11T18:13:00Z</dcterms:modified>
</cp:coreProperties>
</file>