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A3" w:rsidRPr="00557C10" w:rsidRDefault="00B37CA3" w:rsidP="00B37CA3">
      <w:pPr>
        <w:jc w:val="center"/>
        <w:rPr>
          <w:b/>
        </w:rPr>
      </w:pPr>
      <w:r w:rsidRPr="00557C10">
        <w:rPr>
          <w:b/>
        </w:rPr>
        <w:t>T.C.</w:t>
      </w:r>
    </w:p>
    <w:p w:rsidR="00B37CA3" w:rsidRPr="00557C10" w:rsidRDefault="00B37CA3" w:rsidP="00B37CA3">
      <w:pPr>
        <w:jc w:val="center"/>
        <w:rPr>
          <w:b/>
        </w:rPr>
      </w:pPr>
      <w:r w:rsidRPr="00557C10">
        <w:rPr>
          <w:b/>
        </w:rPr>
        <w:t>İSTANBUL ÜNİVERSİTESİ</w:t>
      </w:r>
      <w:r w:rsidR="00557C10" w:rsidRPr="00557C10">
        <w:rPr>
          <w:b/>
        </w:rPr>
        <w:t xml:space="preserve"> - CERRAHPAŞA</w:t>
      </w:r>
    </w:p>
    <w:p w:rsidR="00B37CA3" w:rsidRPr="00557C10" w:rsidRDefault="00B37CA3" w:rsidP="00B37CA3">
      <w:pPr>
        <w:jc w:val="center"/>
        <w:rPr>
          <w:b/>
        </w:rPr>
      </w:pPr>
      <w:r w:rsidRPr="00557C10">
        <w:rPr>
          <w:b/>
        </w:rPr>
        <w:t>MÜHENDİSLİK FAKÜLTESİ MADEN MÜHENDİSLİĞİ BÖLÜMÜ</w:t>
      </w:r>
    </w:p>
    <w:p w:rsidR="00B37CA3" w:rsidRPr="00557C10" w:rsidRDefault="00B37CA3" w:rsidP="00B37CA3">
      <w:pPr>
        <w:jc w:val="center"/>
        <w:rPr>
          <w:b/>
        </w:rPr>
      </w:pPr>
      <w:r w:rsidRPr="00557C10">
        <w:rPr>
          <w:b/>
        </w:rPr>
        <w:t>CEVHER HAZIRLAMA ANABİLİM DALI</w:t>
      </w:r>
    </w:p>
    <w:p w:rsidR="00557C10" w:rsidRPr="00557C10" w:rsidRDefault="00557C10" w:rsidP="00B37CA3">
      <w:pPr>
        <w:jc w:val="center"/>
        <w:rPr>
          <w:b/>
        </w:rPr>
      </w:pPr>
    </w:p>
    <w:p w:rsidR="00557C10" w:rsidRPr="00557C10" w:rsidRDefault="00557C10" w:rsidP="00B37CA3">
      <w:pPr>
        <w:jc w:val="center"/>
        <w:rPr>
          <w:b/>
        </w:rPr>
      </w:pPr>
      <w:r w:rsidRPr="00557C10">
        <w:rPr>
          <w:b/>
        </w:rPr>
        <w:t>ENDÜSTRİYEL MİNERALLERİN ZENGİNLEŞTİRİLMESİ DERSİ</w:t>
      </w:r>
    </w:p>
    <w:p w:rsidR="00B37CA3" w:rsidRPr="00557C10" w:rsidRDefault="00B37CA3" w:rsidP="00B37CA3">
      <w:pPr>
        <w:jc w:val="both"/>
        <w:rPr>
          <w:b/>
        </w:rPr>
      </w:pPr>
    </w:p>
    <w:p w:rsidR="00E11263" w:rsidRDefault="00E11263">
      <w:pPr>
        <w:rPr>
          <w:b/>
        </w:rPr>
      </w:pPr>
      <w:r w:rsidRPr="00E11263">
        <w:rPr>
          <w:b/>
        </w:rPr>
        <w:t>DENEYİN ADI:</w:t>
      </w:r>
    </w:p>
    <w:p w:rsidR="007800C2" w:rsidRDefault="00E11263">
      <w:r w:rsidRPr="00E11263">
        <w:t>Kuvarsı</w:t>
      </w:r>
      <w:r w:rsidR="007800C2" w:rsidRPr="00E11263">
        <w:t>n manyetik ayırma ve ters flotasyon ile zenginleştirilmesi</w:t>
      </w:r>
    </w:p>
    <w:p w:rsidR="00E11263" w:rsidRPr="00E11263" w:rsidRDefault="00E11263"/>
    <w:p w:rsidR="00E11263" w:rsidRPr="00E11263" w:rsidRDefault="00E11263">
      <w:pPr>
        <w:rPr>
          <w:b/>
        </w:rPr>
      </w:pPr>
      <w:r w:rsidRPr="00E11263">
        <w:rPr>
          <w:b/>
        </w:rPr>
        <w:t>DENEYİN AMACI:</w:t>
      </w:r>
    </w:p>
    <w:p w:rsidR="00E11263" w:rsidRDefault="00E11263" w:rsidP="00E11263">
      <w:pPr>
        <w:pStyle w:val="GvdeMetni"/>
        <w:numPr>
          <w:ilvl w:val="0"/>
          <w:numId w:val="2"/>
        </w:numPr>
        <w:tabs>
          <w:tab w:val="left" w:pos="-851"/>
          <w:tab w:val="left" w:pos="8222"/>
        </w:tabs>
        <w:spacing w:after="0"/>
        <w:ind w:right="-2"/>
        <w:jc w:val="both"/>
        <w:rPr>
          <w:szCs w:val="24"/>
          <w:lang w:val="tr-TR"/>
        </w:rPr>
      </w:pPr>
      <w:r>
        <w:rPr>
          <w:szCs w:val="24"/>
          <w:lang w:val="tr-TR"/>
        </w:rPr>
        <w:t>Manyetik ayırma ve ters flotasyon ile ilgili esasların anlatılması</w:t>
      </w:r>
    </w:p>
    <w:p w:rsidR="00E11263" w:rsidRDefault="00E11263" w:rsidP="00E11263">
      <w:pPr>
        <w:pStyle w:val="GvdeMetni"/>
        <w:numPr>
          <w:ilvl w:val="0"/>
          <w:numId w:val="2"/>
        </w:numPr>
        <w:tabs>
          <w:tab w:val="left" w:pos="-851"/>
          <w:tab w:val="left" w:pos="8222"/>
        </w:tabs>
        <w:spacing w:after="0"/>
        <w:ind w:right="-2"/>
        <w:jc w:val="both"/>
        <w:rPr>
          <w:szCs w:val="24"/>
          <w:lang w:val="tr-TR"/>
        </w:rPr>
      </w:pPr>
      <w:r>
        <w:rPr>
          <w:szCs w:val="24"/>
          <w:lang w:val="tr-TR"/>
        </w:rPr>
        <w:t>Yüksek alan şiddetli yaş manyetik ayırıcı ve flotasyon cihazının çalışma prensipleri ve çalışma ayarlarının incelenmesi.</w:t>
      </w:r>
    </w:p>
    <w:p w:rsidR="00E11263" w:rsidRPr="00E11263" w:rsidRDefault="00E11263" w:rsidP="00E11263">
      <w:pPr>
        <w:pStyle w:val="GvdeMetni"/>
        <w:numPr>
          <w:ilvl w:val="0"/>
          <w:numId w:val="2"/>
        </w:numPr>
        <w:tabs>
          <w:tab w:val="left" w:pos="-851"/>
          <w:tab w:val="left" w:pos="8222"/>
        </w:tabs>
        <w:spacing w:after="0"/>
        <w:ind w:right="-2"/>
        <w:jc w:val="both"/>
        <w:rPr>
          <w:szCs w:val="24"/>
          <w:lang w:val="tr-TR"/>
        </w:rPr>
      </w:pPr>
      <w:r>
        <w:rPr>
          <w:szCs w:val="24"/>
          <w:lang w:val="tr-TR"/>
        </w:rPr>
        <w:t>Deneylerin gerçekleştirilerek zenginleştirme işleminin incelenmesi.</w:t>
      </w:r>
    </w:p>
    <w:p w:rsidR="00E11263" w:rsidRDefault="00E11263"/>
    <w:p w:rsidR="00E11263" w:rsidRDefault="00E11263">
      <w:pPr>
        <w:rPr>
          <w:b/>
        </w:rPr>
      </w:pPr>
      <w:r w:rsidRPr="00E11263">
        <w:rPr>
          <w:b/>
        </w:rPr>
        <w:t>DENEYİN YAPILIŞI:</w:t>
      </w:r>
    </w:p>
    <w:p w:rsidR="00E11263" w:rsidRDefault="00E11263" w:rsidP="00532030">
      <w:pPr>
        <w:spacing w:after="240"/>
        <w:rPr>
          <w:u w:val="single"/>
        </w:rPr>
      </w:pPr>
      <w:r w:rsidRPr="00E11263">
        <w:rPr>
          <w:u w:val="single"/>
        </w:rPr>
        <w:t>Manyetik ayırma</w:t>
      </w:r>
    </w:p>
    <w:p w:rsidR="00532030" w:rsidRDefault="00532030" w:rsidP="00532030">
      <w:pPr>
        <w:rPr>
          <w:u w:val="single"/>
        </w:rPr>
      </w:pPr>
      <w:r w:rsidRPr="00E11263">
        <w:t>Deney için uygun tane boyut</w:t>
      </w:r>
      <w:r>
        <w:t>unda miktarda malzeme hazırlanır.</w:t>
      </w:r>
    </w:p>
    <w:p w:rsidR="00E11263" w:rsidRDefault="00E11263">
      <w:r w:rsidRPr="00E11263">
        <w:t>Cihaz açılara</w:t>
      </w:r>
      <w:r w:rsidR="00532030">
        <w:t>k deneye hazır hale getirilir</w:t>
      </w:r>
    </w:p>
    <w:p w:rsidR="00532030" w:rsidRPr="00E11263" w:rsidRDefault="00532030">
      <w:r>
        <w:t>Kullanılan manyetik alan şiddeti tespit edilir.</w:t>
      </w:r>
    </w:p>
    <w:p w:rsidR="00E11263" w:rsidRDefault="00E11263">
      <w:r>
        <w:t>Numune pülp haline getirilerek manyetik ayırıcıya beslen</w:t>
      </w:r>
      <w:r w:rsidR="00532030">
        <w:t>ir.</w:t>
      </w:r>
    </w:p>
    <w:p w:rsidR="00E11263" w:rsidRDefault="00E11263">
      <w:r>
        <w:t xml:space="preserve">Zenginleştirme gerçekleştikten sonra </w:t>
      </w:r>
      <w:proofErr w:type="gramStart"/>
      <w:r>
        <w:t>konsantre</w:t>
      </w:r>
      <w:proofErr w:type="gramEnd"/>
      <w:r>
        <w:t xml:space="preserve"> v</w:t>
      </w:r>
      <w:r w:rsidR="00532030">
        <w:t>e gang ayrı ayrı temin edilir.</w:t>
      </w:r>
    </w:p>
    <w:p w:rsidR="00E11263" w:rsidRPr="00E11263" w:rsidRDefault="00E11263"/>
    <w:p w:rsidR="00E11263" w:rsidRDefault="00E11263" w:rsidP="00E11263">
      <w:pPr>
        <w:spacing w:line="360" w:lineRule="auto"/>
        <w:jc w:val="both"/>
        <w:rPr>
          <w:u w:val="single"/>
        </w:rPr>
      </w:pPr>
      <w:r w:rsidRPr="00E11263">
        <w:rPr>
          <w:u w:val="single"/>
        </w:rPr>
        <w:t>Flotasyon:</w:t>
      </w:r>
    </w:p>
    <w:p w:rsidR="00A641A4" w:rsidRDefault="00A641A4" w:rsidP="00A641A4">
      <w:pPr>
        <w:rPr>
          <w:u w:val="single"/>
        </w:rPr>
      </w:pPr>
      <w:r w:rsidRPr="00E11263">
        <w:t>Deney için uygun tane boyut</w:t>
      </w:r>
      <w:r>
        <w:t>unda miktarda malzeme hazırlanır.</w:t>
      </w:r>
    </w:p>
    <w:p w:rsidR="00A641A4" w:rsidRDefault="00A641A4" w:rsidP="00A641A4">
      <w:pPr>
        <w:jc w:val="both"/>
      </w:pPr>
      <w:r w:rsidRPr="00E11263">
        <w:t>Flotasyonda kullanılacak olan reaktifler u</w:t>
      </w:r>
      <w:r>
        <w:t xml:space="preserve">ygun </w:t>
      </w:r>
      <w:proofErr w:type="spellStart"/>
      <w:r>
        <w:t>derişimlerde</w:t>
      </w:r>
      <w:proofErr w:type="spellEnd"/>
      <w:r>
        <w:t xml:space="preserve"> hazırlanır.</w:t>
      </w:r>
    </w:p>
    <w:p w:rsidR="00A641A4" w:rsidRDefault="00A641A4" w:rsidP="00A641A4">
      <w:pPr>
        <w:jc w:val="both"/>
      </w:pPr>
      <w:r w:rsidRPr="00E11263">
        <w:t>Flotasyona uygun hacimde selül seçilerek, uyg</w:t>
      </w:r>
      <w:r>
        <w:t>un PKO belirlenecek malzeme ve su karıştırılarak pülp hazırlanır.</w:t>
      </w:r>
    </w:p>
    <w:p w:rsidR="00A641A4" w:rsidRDefault="00A641A4" w:rsidP="00A641A4">
      <w:pPr>
        <w:jc w:val="both"/>
      </w:pPr>
      <w:r w:rsidRPr="00E11263">
        <w:t>Flotasyon makinesinin devri ayarlanarak malzeme selül içerisinde belirlenen reaktifler</w:t>
      </w:r>
      <w:r>
        <w:t xml:space="preserve"> ile sıra ile muamele edilir.</w:t>
      </w:r>
    </w:p>
    <w:p w:rsidR="00A641A4" w:rsidRDefault="00A641A4" w:rsidP="00A641A4">
      <w:pPr>
        <w:jc w:val="both"/>
      </w:pPr>
      <w:r>
        <w:t>Tespit edilen f</w:t>
      </w:r>
      <w:r w:rsidRPr="00E11263">
        <w:t>lotasyon süresi sonunda h</w:t>
      </w:r>
      <w:r>
        <w:t>ava musluğu açılarak köpük alınır.</w:t>
      </w:r>
    </w:p>
    <w:p w:rsidR="00A641A4" w:rsidRDefault="00A641A4" w:rsidP="00A641A4">
      <w:r>
        <w:t xml:space="preserve">Zenginleştirme gerçekleştikten sonra </w:t>
      </w:r>
      <w:proofErr w:type="gramStart"/>
      <w:r>
        <w:t>konsantre</w:t>
      </w:r>
      <w:proofErr w:type="gramEnd"/>
      <w:r>
        <w:t xml:space="preserve"> ve gang ayrı ayrı temin edilir.</w:t>
      </w:r>
    </w:p>
    <w:p w:rsidR="00A641A4" w:rsidRDefault="00A641A4" w:rsidP="00A641A4">
      <w:pPr>
        <w:jc w:val="both"/>
      </w:pPr>
    </w:p>
    <w:p w:rsidR="00532030" w:rsidRDefault="00532030" w:rsidP="00532030">
      <w:pPr>
        <w:spacing w:line="360" w:lineRule="auto"/>
        <w:jc w:val="both"/>
      </w:pPr>
      <w:r w:rsidRPr="000B1E4C">
        <w:rPr>
          <w:b/>
        </w:rPr>
        <w:t>İSTENENLER:</w:t>
      </w:r>
    </w:p>
    <w:p w:rsidR="00532030" w:rsidRDefault="00532030" w:rsidP="00532030">
      <w:pPr>
        <w:pStyle w:val="ListeParagraf"/>
        <w:numPr>
          <w:ilvl w:val="0"/>
          <w:numId w:val="3"/>
        </w:numPr>
        <w:jc w:val="both"/>
      </w:pPr>
      <w:r>
        <w:t xml:space="preserve">Manyetik ayırma ve </w:t>
      </w:r>
      <w:proofErr w:type="spellStart"/>
      <w:r>
        <w:t>flotasyon</w:t>
      </w:r>
      <w:proofErr w:type="spellEnd"/>
      <w:r>
        <w:t xml:space="preserve"> hakkına bilgi veriniz.</w:t>
      </w:r>
    </w:p>
    <w:p w:rsidR="00F64943" w:rsidRDefault="00F64943" w:rsidP="00532030">
      <w:pPr>
        <w:pStyle w:val="ListeParagraf"/>
        <w:numPr>
          <w:ilvl w:val="0"/>
          <w:numId w:val="3"/>
        </w:numPr>
        <w:jc w:val="both"/>
      </w:pPr>
      <w:r>
        <w:t xml:space="preserve">Kullanılan yaş manyetik ayırıcının ve </w:t>
      </w:r>
      <w:proofErr w:type="spellStart"/>
      <w:r>
        <w:t>flotasyon</w:t>
      </w:r>
      <w:proofErr w:type="spellEnd"/>
      <w:r>
        <w:t xml:space="preserve"> cihazının şeklini çizerek </w:t>
      </w:r>
      <w:proofErr w:type="spellStart"/>
      <w:r>
        <w:t>parçalırını</w:t>
      </w:r>
      <w:proofErr w:type="spellEnd"/>
      <w:r>
        <w:t xml:space="preserve"> üzerinde gösteriniz.</w:t>
      </w:r>
      <w:bookmarkStart w:id="0" w:name="_GoBack"/>
      <w:bookmarkEnd w:id="0"/>
    </w:p>
    <w:p w:rsidR="00532030" w:rsidRDefault="00532030" w:rsidP="00532030">
      <w:pPr>
        <w:pStyle w:val="ListeParagraf"/>
        <w:numPr>
          <w:ilvl w:val="0"/>
          <w:numId w:val="3"/>
        </w:numPr>
        <w:jc w:val="both"/>
      </w:pPr>
      <w:r w:rsidRPr="000B1E4C">
        <w:t>Cihaz</w:t>
      </w:r>
      <w:r>
        <w:t>lar</w:t>
      </w:r>
      <w:r w:rsidRPr="000B1E4C">
        <w:t>da ya</w:t>
      </w:r>
      <w:r>
        <w:t>pılabilecek ayarları yazınız.</w:t>
      </w:r>
    </w:p>
    <w:p w:rsidR="00A641A4" w:rsidRDefault="00532030" w:rsidP="00A641A4">
      <w:pPr>
        <w:pStyle w:val="ListeParagraf"/>
        <w:numPr>
          <w:ilvl w:val="0"/>
          <w:numId w:val="3"/>
        </w:numPr>
        <w:jc w:val="both"/>
      </w:pPr>
      <w:r w:rsidRPr="000B1E4C">
        <w:t>Deneyin yapılışını anlatarak, deney sonuçlarını yorumlayınız.</w:t>
      </w:r>
    </w:p>
    <w:p w:rsidR="00A641A4" w:rsidRPr="00E11263" w:rsidRDefault="00A641A4" w:rsidP="00F64943">
      <w:pPr>
        <w:pStyle w:val="ListeParagraf"/>
        <w:jc w:val="both"/>
      </w:pPr>
    </w:p>
    <w:p w:rsidR="00E11263" w:rsidRPr="00E11263" w:rsidRDefault="00E11263" w:rsidP="00E11263">
      <w:pPr>
        <w:spacing w:line="360" w:lineRule="auto"/>
        <w:jc w:val="both"/>
        <w:rPr>
          <w:b/>
        </w:rPr>
      </w:pPr>
      <w:r w:rsidRPr="00E11263">
        <w:rPr>
          <w:b/>
        </w:rPr>
        <w:t>Not: Deney raporları, A4 kâğıda tükenmez</w:t>
      </w:r>
      <w:r w:rsidR="00557C10">
        <w:rPr>
          <w:b/>
        </w:rPr>
        <w:t xml:space="preserve"> veya kurşun</w:t>
      </w:r>
      <w:r w:rsidRPr="00E11263">
        <w:rPr>
          <w:b/>
        </w:rPr>
        <w:t xml:space="preserve"> kalemle düzenli bir şekilde yazılacaktır.</w:t>
      </w:r>
    </w:p>
    <w:p w:rsidR="00E11263" w:rsidRDefault="00E11263"/>
    <w:sectPr w:rsidR="00E11263" w:rsidSect="00557C1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ED0"/>
    <w:multiLevelType w:val="hybridMultilevel"/>
    <w:tmpl w:val="8E4C6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A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ED6887"/>
    <w:multiLevelType w:val="hybridMultilevel"/>
    <w:tmpl w:val="BEAA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c3sTA1tDQ0MTdX0lEKTi0uzszPAykwrgUATxsrWCwAAAA="/>
  </w:docVars>
  <w:rsids>
    <w:rsidRoot w:val="008E0804"/>
    <w:rsid w:val="00532030"/>
    <w:rsid w:val="00557C10"/>
    <w:rsid w:val="007800C2"/>
    <w:rsid w:val="008E0804"/>
    <w:rsid w:val="00A641A4"/>
    <w:rsid w:val="00B37CA3"/>
    <w:rsid w:val="00DF365B"/>
    <w:rsid w:val="00E11263"/>
    <w:rsid w:val="00F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482C"/>
  <w15:chartTrackingRefBased/>
  <w15:docId w15:val="{2F6AC9DC-8415-4908-BA92-B346B38C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11263"/>
    <w:pPr>
      <w:spacing w:after="120"/>
    </w:pPr>
    <w:rPr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E11263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ListeParagraf">
    <w:name w:val="List Paragraph"/>
    <w:basedOn w:val="Normal"/>
    <w:uiPriority w:val="34"/>
    <w:qFormat/>
    <w:rsid w:val="0053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Rewiever</dc:creator>
  <cp:keywords/>
  <dc:description/>
  <cp:lastModifiedBy>Dismail</cp:lastModifiedBy>
  <cp:revision>6</cp:revision>
  <dcterms:created xsi:type="dcterms:W3CDTF">2018-11-26T12:09:00Z</dcterms:created>
  <dcterms:modified xsi:type="dcterms:W3CDTF">2018-11-27T08:40:00Z</dcterms:modified>
</cp:coreProperties>
</file>