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29" w:rsidRDefault="00233D29" w:rsidP="00233D29">
      <w:pPr>
        <w:jc w:val="both"/>
      </w:pPr>
      <w:r>
        <w:t>T.C.</w:t>
      </w:r>
    </w:p>
    <w:p w:rsidR="00233D29" w:rsidRDefault="00233D29" w:rsidP="00233D29">
      <w:pPr>
        <w:jc w:val="both"/>
      </w:pPr>
      <w:r>
        <w:t>DANIŞTAY</w:t>
      </w:r>
    </w:p>
    <w:p w:rsidR="00233D29" w:rsidRDefault="00233D29" w:rsidP="00233D29">
      <w:pPr>
        <w:jc w:val="both"/>
      </w:pPr>
      <w:r>
        <w:t>10. DAİRE</w:t>
      </w:r>
    </w:p>
    <w:p w:rsidR="00233D29" w:rsidRDefault="00233D29" w:rsidP="00233D29">
      <w:pPr>
        <w:jc w:val="both"/>
      </w:pPr>
      <w:r>
        <w:t>E. 2006/946</w:t>
      </w:r>
    </w:p>
    <w:p w:rsidR="00233D29" w:rsidRDefault="00233D29" w:rsidP="00233D29">
      <w:pPr>
        <w:jc w:val="both"/>
      </w:pPr>
      <w:r>
        <w:t>K. 2008/6084</w:t>
      </w:r>
    </w:p>
    <w:p w:rsidR="00233D29" w:rsidRDefault="00233D29" w:rsidP="00233D29">
      <w:pPr>
        <w:jc w:val="both"/>
      </w:pPr>
      <w:r>
        <w:t>T. 15.9.2008</w:t>
      </w:r>
    </w:p>
    <w:p w:rsidR="00233D29" w:rsidRDefault="00233D29" w:rsidP="00233D29">
      <w:pPr>
        <w:jc w:val="both"/>
      </w:pPr>
      <w:r>
        <w:t>• TOPLANTI DÜZENLEME HAK VE ÖZGÜRLÜĞÜ ( Açık Somut ve Yakın Tehlikeden Bahsedilmeyen Gerekçe/Erteleme Sebebi Oluşturabileceği - Etkinliğin Yasaklanmasında Hukuka Uyarlık Bulunmadığı )</w:t>
      </w:r>
    </w:p>
    <w:p w:rsidR="00233D29" w:rsidRDefault="00233D29" w:rsidP="00233D29">
      <w:pPr>
        <w:jc w:val="both"/>
      </w:pPr>
      <w:r>
        <w:t>• İKİ KARŞIT GRUP ( Karşılaşacağı Gerekçesinin Ancak Etkinliğin Ertelenmesi Sebebi Teşkil Edeceği )</w:t>
      </w:r>
    </w:p>
    <w:p w:rsidR="00233D29" w:rsidRDefault="00233D29" w:rsidP="00233D29">
      <w:pPr>
        <w:jc w:val="both"/>
      </w:pPr>
      <w:r>
        <w:t xml:space="preserve">• ERTELEME ( İki Karşıt Grubun Karşılaşmasının Sebep Teşkil Edeceği/Toplantı Hak ve Özgürlüğünün Özüne </w:t>
      </w:r>
      <w:proofErr w:type="spellStart"/>
      <w:r>
        <w:t>Dokulmaksızın</w:t>
      </w:r>
      <w:proofErr w:type="spellEnd"/>
      <w:r>
        <w:t xml:space="preserve"> Yasal Amaca Ulaşılabildiği - Etkinliğin Yasaklanamayacağı )</w:t>
      </w:r>
    </w:p>
    <w:p w:rsidR="00233D29" w:rsidRDefault="00233D29" w:rsidP="00233D29">
      <w:pPr>
        <w:jc w:val="both"/>
      </w:pPr>
      <w:r>
        <w:t>• ETKİNLİĞİN YASAKLANMASI ( Toplantı Düzenleme Hak ve Özgürlüğü - İki Karşıt Grubun Karşılaşmasının Erteleme Sebebi Olduğu/Hukuka Uyarlık Bulunmadığı )</w:t>
      </w:r>
    </w:p>
    <w:p w:rsidR="00233D29" w:rsidRDefault="00233D29" w:rsidP="00233D29">
      <w:pPr>
        <w:jc w:val="both"/>
      </w:pPr>
      <w:r>
        <w:t>2911/m. 17</w:t>
      </w:r>
    </w:p>
    <w:p w:rsidR="00233D29" w:rsidRDefault="00233D29" w:rsidP="00233D29">
      <w:pPr>
        <w:jc w:val="both"/>
      </w:pPr>
      <w:proofErr w:type="gramStart"/>
      <w:r>
        <w:t>ÖZET : Açık</w:t>
      </w:r>
      <w:proofErr w:type="gramEnd"/>
      <w:r>
        <w:t>, somut ve yakın tehlikeden bahsedilemeyen, iki karşıt grubun karşılaşması gerekçesi, ancak bir erteleme sebebi teşkil edebileceğinden; ayrıca erteleme müessesesinin işletilmesi halinde toplantı düzenleme hak ve özgürlüğünün özüne dokunulmaksızın yasal amaca ulaşılabileceğinden, etkinliğin yasaklanması yoluna başvurulmasında hukuka uyarlık bulunmamaktadır.</w:t>
      </w:r>
    </w:p>
    <w:p w:rsidR="00233D29" w:rsidRDefault="00233D29" w:rsidP="00233D29">
      <w:pPr>
        <w:jc w:val="both"/>
      </w:pPr>
      <w:r>
        <w:t xml:space="preserve">İstemin </w:t>
      </w:r>
      <w:proofErr w:type="gramStart"/>
      <w:r>
        <w:t>Özeti : Muğla</w:t>
      </w:r>
      <w:proofErr w:type="gramEnd"/>
      <w:r>
        <w:t xml:space="preserve"> İdare Mahkemesinin 24.6.2005 tarih, E:2004/1930, K:2005/801 sayılı kararının </w:t>
      </w:r>
      <w:proofErr w:type="spellStart"/>
      <w:r>
        <w:t>temyizen</w:t>
      </w:r>
      <w:proofErr w:type="spellEnd"/>
      <w:r>
        <w:t xml:space="preserve"> incelenip bozulması istenilmektedir. </w:t>
      </w:r>
      <w:proofErr w:type="gramStart"/>
      <w:r>
        <w:t>savunmanın</w:t>
      </w:r>
      <w:proofErr w:type="gramEnd"/>
      <w:r>
        <w:t xml:space="preserve"> Özeti: Savunma verilmemiştir.</w:t>
      </w:r>
    </w:p>
    <w:p w:rsidR="00233D29" w:rsidRDefault="00233D29" w:rsidP="00233D29">
      <w:pPr>
        <w:jc w:val="both"/>
      </w:pPr>
      <w:r>
        <w:t xml:space="preserve">Danıştay Tetkik </w:t>
      </w:r>
      <w:proofErr w:type="gramStart"/>
      <w:r>
        <w:t>Hakimi</w:t>
      </w:r>
      <w:proofErr w:type="gramEnd"/>
      <w:r>
        <w:t>: Nihan Didem Çakmak</w:t>
      </w:r>
    </w:p>
    <w:p w:rsidR="00233D29" w:rsidRDefault="00233D29" w:rsidP="00233D29">
      <w:pPr>
        <w:jc w:val="both"/>
      </w:pPr>
      <w:r>
        <w:t>Düşüncesi: Temyiz isteminin reddi ile usul ve hukuka uygun bulunan mahkeme kararının onanması gerektiği düşünülmektedir.</w:t>
      </w:r>
    </w:p>
    <w:p w:rsidR="00233D29" w:rsidRDefault="00233D29" w:rsidP="00233D29">
      <w:pPr>
        <w:jc w:val="both"/>
      </w:pPr>
      <w:r>
        <w:t>Danıştay Savcısı: Ergün Özcan</w:t>
      </w:r>
    </w:p>
    <w:p w:rsidR="00233D29" w:rsidRDefault="00233D29" w:rsidP="00233D29">
      <w:pPr>
        <w:jc w:val="both"/>
      </w:pPr>
      <w:proofErr w:type="gramStart"/>
      <w:r>
        <w:t>Düşüncesi : İdare</w:t>
      </w:r>
      <w:proofErr w:type="gramEnd"/>
      <w:r>
        <w:t xml:space="preserve"> ve vergi mahkemelerince verilen kararların </w:t>
      </w:r>
      <w:proofErr w:type="spellStart"/>
      <w:r>
        <w:t>temyizen</w:t>
      </w:r>
      <w:proofErr w:type="spellEnd"/>
      <w:r>
        <w:t xml:space="preserve"> incelenerek bozulabilmesi için, 2577 sayılı İdari Yargılama Usulü Kanunu'nun 49 uncu maddesinin birinci fıkrasında belirtilen nedenlerin bulunması gerekmektedir.</w:t>
      </w:r>
    </w:p>
    <w:p w:rsidR="00233D29" w:rsidRDefault="00233D29" w:rsidP="00233D29">
      <w:pPr>
        <w:jc w:val="both"/>
      </w:pPr>
      <w:r>
        <w:t>Temyiz dilekçesinde öne sürülen hususlar, söz konusu maddede yazılı nedenlerden hiçbirisine uymadığından, istemin reddi ile temyiz edilen mahkeme kararının onanmasının uygun olacağı düşünülmektedir.</w:t>
      </w:r>
    </w:p>
    <w:p w:rsidR="00233D29" w:rsidRDefault="00233D29" w:rsidP="00233D29">
      <w:pPr>
        <w:jc w:val="both"/>
      </w:pPr>
    </w:p>
    <w:p w:rsidR="00233D29" w:rsidRDefault="00233D29" w:rsidP="00233D29">
      <w:pPr>
        <w:jc w:val="both"/>
      </w:pPr>
      <w:r>
        <w:lastRenderedPageBreak/>
        <w:t>TÜRK MİLLETİ ADINA</w:t>
      </w:r>
    </w:p>
    <w:p w:rsidR="00233D29" w:rsidRDefault="00233D29" w:rsidP="00233D29">
      <w:pPr>
        <w:jc w:val="both"/>
      </w:pPr>
      <w:r>
        <w:t>Hüküm veren Danıştay Onuncu Dairesince gereği görüşüldü:</w:t>
      </w:r>
    </w:p>
    <w:p w:rsidR="00233D29" w:rsidRDefault="00233D29" w:rsidP="00233D29">
      <w:pPr>
        <w:jc w:val="both"/>
      </w:pPr>
      <w:proofErr w:type="gramStart"/>
      <w:r>
        <w:t>KARAR : Dava</w:t>
      </w:r>
      <w:proofErr w:type="gramEnd"/>
      <w:r>
        <w:t xml:space="preserve">; 12.9.2004 tarihinde Marmaris ilçesinde düzenlenmek istenen "1. Marmaris Demokrasi ve Kültür Şenliği - </w:t>
      </w:r>
      <w:proofErr w:type="spellStart"/>
      <w:r>
        <w:t>Netekim</w:t>
      </w:r>
      <w:proofErr w:type="spellEnd"/>
      <w:r>
        <w:t xml:space="preserve"> Festival" adlı etkinliğin, 2911 sayılı Toplantı ve Gösteri Yürüyüşleri Kanunu'nun 17. maddesi uyarınca yasaklanması </w:t>
      </w:r>
      <w:proofErr w:type="spellStart"/>
      <w:r>
        <w:t>na</w:t>
      </w:r>
      <w:proofErr w:type="spellEnd"/>
      <w:r>
        <w:t xml:space="preserve"> ilişkin 7.9.2004 tarih, 2856 sayılı Marmaris Kaymakamlığı işleminin iptali istemiyle açılmıştır.</w:t>
      </w:r>
    </w:p>
    <w:p w:rsidR="00233D29" w:rsidRDefault="00233D29" w:rsidP="00233D29">
      <w:pPr>
        <w:jc w:val="both"/>
      </w:pPr>
      <w:proofErr w:type="gramStart"/>
      <w:r>
        <w:t>Muğla idare Mahkemesince; 2911 sayılı Yasanın 17. maddesiyle, kaymakama; milli güvenlik, kamu düzeni, suç işlenmesinin önlenmesi, genel sağlığın ve genel ahlakın veya başkalarının hak ve özgürlüklerinin korunması amacıyla belirli bir toplantıyı bir ayı aşmamak üzere erteleme,· suç işleneceğine dair açık ve yakın tehlikenin bulunması halinde ise yasaklama yetkisinin verildiği; dava konusu olayda, 12 Eylül askeri müdahalesini eleştirmek amacıyla düzenlenmek istenen etkinlikle ilgili olarak çeşitli siyasi partiler ve sivil toplum örgütleri tarafından yapılan ve bu etkinliğe karşı olduklarını belirten açıklamaların basın-yayın organlarında yayınlanması üzerine kamuoyunda gerginlik oluştuğunun anlaşıldığı; söz konusu etkinliğin düzenlenmesi halinde, kamu düzeninin bozulabileceği ve suç işlenmesinin kuvvetle muhtemel olduğu kanaatine varıldığından, 2911 sayılı Yasanın 17. maddesi uyarınca etkinliğin yasaklanmasına ilişkin dava konusu işlemde hukuka aykırılık bulunmadığı gerekçesiyle davanın reddine karar verilmiştir.</w:t>
      </w:r>
      <w:proofErr w:type="gramEnd"/>
    </w:p>
    <w:p w:rsidR="00233D29" w:rsidRDefault="00233D29" w:rsidP="00233D29">
      <w:pPr>
        <w:jc w:val="both"/>
      </w:pPr>
      <w:proofErr w:type="gramStart"/>
      <w:r>
        <w:t>Anayasa'nın 34. maddesinde, herkesin, önceden izin almadan, silahsız ve saldırısız toplantı ve gösteri yürüyüşü düzenleme hakkına sahip olduğu; toplantı ve gösteri yürüyüşü hakkının ancak, milli güvenlik, kamu düzeni, suç işlenmesinin önlenmesi, genel sağlığın ve genel ahlakın veya başkalarının hak ve özgürlüklerinin korunması amacıyla ve yasayla sınırlanabileceği düzenlenmiş; bu hakkın kullanılmasında uygulanacak şekil, şart ve usullerin yasada gösterileceği belirtilmiştir.</w:t>
      </w:r>
      <w:proofErr w:type="gramEnd"/>
    </w:p>
    <w:p w:rsidR="00233D29" w:rsidRDefault="00233D29" w:rsidP="00233D29">
      <w:pPr>
        <w:jc w:val="both"/>
      </w:pPr>
      <w:proofErr w:type="gramStart"/>
      <w:r>
        <w:t>2911 sayılı Toplantı ve Gösteri Yürüyüşleri Kanunu'nun 'Toplantının Ertelenmesi veya Bazı Hallerde Yasaklanması" başlıklı 17. maddesinde; bölge valisi, vali veya kaymakamın, milli güvenlik, kamu düzeni, suç işlenmesinin önlenmesi, genel sağlığın ve genel ahlakın veya başkalarının hak ve özgürlüklerinin korunması amacıyla belirli bir toplantıyı bir ayı aşmamak üzere erteleyebileceği veya suç işleneceği ne dair açık ve yakın tehlikenin mevcut olması halinde yasaklayabileceği hükmüne yer verilmiştir.</w:t>
      </w:r>
      <w:proofErr w:type="gramEnd"/>
    </w:p>
    <w:p w:rsidR="00233D29" w:rsidRDefault="00233D29" w:rsidP="00233D29">
      <w:pPr>
        <w:jc w:val="both"/>
      </w:pPr>
      <w:proofErr w:type="gramStart"/>
      <w:r>
        <w:t xml:space="preserve">Dosyanın incelenmesinden; 78'liler Derneği ve Kültürlerarası iletişim Derneği tarafından 12.9.2004 tarihinde Marmaris ilçesinde düzenlenmek istenen "1. Marmaris Demokrasi ve Kültür Şenliği - </w:t>
      </w:r>
      <w:proofErr w:type="spellStart"/>
      <w:r>
        <w:t>Netekim</w:t>
      </w:r>
      <w:proofErr w:type="spellEnd"/>
      <w:r>
        <w:t xml:space="preserve"> Festival" adlı etkinliğin, davacının başkanlığını yaptığı düzenleme kurulunca 2911 sayılı </w:t>
      </w:r>
      <w:proofErr w:type="spellStart"/>
      <w:r>
        <w:t>Y.asa</w:t>
      </w:r>
      <w:proofErr w:type="spellEnd"/>
      <w:r>
        <w:t xml:space="preserve"> uyarınca 3.9.2004 tarihinde davalı Kaymakamlığa bildirilmesi üzerine, Kaymakamlıkça etkinlikle ilgili olarak ilçe Emniyet Müdürlüğünden rapor istenildiği, söz konusu raporda, 12 Eylül 1980 tarihinde silahlı kuvvetlerin yönetime el koymasını protesto amaçlı</w:t>
      </w:r>
      <w:proofErr w:type="gramEnd"/>
      <w:r>
        <w:t xml:space="preserve"> etkinliğin yerel ve ulusal basında sıkça yer aldığı ve çeşitli siyasi partiler ve sivil toplum örgütleri tarafından, bu etkinliğe karşı olduklarını belirten gerginlik yaratacak açıklamalarda </w:t>
      </w:r>
      <w:proofErr w:type="gramStart"/>
      <w:r>
        <w:t>bulunulduğu</w:t>
      </w:r>
      <w:proofErr w:type="gramEnd"/>
      <w:r>
        <w:t xml:space="preserve">; bunun yanında etkinliği destekleyen sivil toplum örgütlerinin de basına demeç verdiği, bu açıklamaların basın-yayın organlarında yayınlanması üzerine kamuoyunda rahatsızlık oluştuğu, söz konusu etkinliğin gerçekleşmesi halinde iki karşıt grubun karşılaşmasına sebebiyet verilmek suretiyle kamu düzeninin bozulacağı, turizmin etkileneceği ve suç işlenmesinin kuvvetle muhtemel olduğu görüşlerine yer verildiği; bu raporun davalı </w:t>
      </w:r>
      <w:r>
        <w:lastRenderedPageBreak/>
        <w:t>Kaymakamlık tarafından değerlendirilmesi sonucu aynı kanaate varılarak suç işleneceği ne dair açık ve yakın tehlikenin mevcut olduğu gerekçesiyle dava konusu işlemle etkinliğin 2911 sayılı Yasanın 17. maddesi uyarınca yasaklandığı, bunun üzerine davacı tarafından bakılmakta olan davanın açıldığı anlaşılmaktadır.</w:t>
      </w:r>
    </w:p>
    <w:p w:rsidR="00233D29" w:rsidRPr="004E5D13" w:rsidRDefault="00233D29" w:rsidP="00233D29">
      <w:pPr>
        <w:jc w:val="both"/>
        <w:rPr>
          <w:highlight w:val="yellow"/>
        </w:rPr>
      </w:pPr>
      <w:r w:rsidRPr="004E5D13">
        <w:rPr>
          <w:highlight w:val="yellow"/>
        </w:rPr>
        <w:t>Anayasa'nın 13. maddesinde, temel hak ve özgürlüklerin, özlerine dokunulmaksızın yalnızca Anayasa'nın ilgili maddelerinde belirtilen sebeplere bağlı olarak ve ancak yasayla sınırlanabileceği, bu sınırlamaların Anayasa'nın sözüne ve ruhuna, demokratik toplum düzeninin ve laik Cumhuriyetin gereklerine ve ölçülülük ilkesine aykırı olamayacağı belirtilmiştir.</w:t>
      </w:r>
    </w:p>
    <w:p w:rsidR="00233D29" w:rsidRPr="004E5D13" w:rsidRDefault="00233D29" w:rsidP="00233D29">
      <w:pPr>
        <w:jc w:val="both"/>
        <w:rPr>
          <w:highlight w:val="yellow"/>
        </w:rPr>
      </w:pPr>
      <w:r w:rsidRPr="004E5D13">
        <w:rPr>
          <w:highlight w:val="yellow"/>
        </w:rPr>
        <w:t>Yukarıda anılan Anayasa hükmündeki "sınırlama" ifadesinden, belirli bir temel hak ve özgürlüğün norm alanı ( güvence alanı ) içinde var olan olanakların yasa koyucu tarafından daraltılmasının anlaşılması gerekmektedir. Başka bir anlatımla, belirli bir temel hak ve özgürlüğün kullanım olanakları, onun sınırlanmasından sonra da devam etmektedir. Bu durum aynı zamanda, özgürlüklerin özüne dokunulmamış olduğunu da ifade etmektedir. Buna karşılık, temel hak ve özgürlüklerin durdurulması veya özlerine dokunulması, bunlardan belirli bir süre yararlanılamaması veya kullanılmalarının olanaksızlaşması anlamına gelmektedir.</w:t>
      </w:r>
    </w:p>
    <w:p w:rsidR="00233D29" w:rsidRPr="004E5D13" w:rsidRDefault="00233D29" w:rsidP="00233D29">
      <w:pPr>
        <w:jc w:val="both"/>
        <w:rPr>
          <w:highlight w:val="yellow"/>
        </w:rPr>
      </w:pPr>
      <w:r w:rsidRPr="004E5D13">
        <w:rPr>
          <w:highlight w:val="yellow"/>
        </w:rPr>
        <w:t xml:space="preserve">Yine Anayasa'nın 13. maddesinde yer alan, temel hak ve özgürlüklerin sınırlanması </w:t>
      </w:r>
      <w:proofErr w:type="gramStart"/>
      <w:r w:rsidRPr="004E5D13">
        <w:rPr>
          <w:highlight w:val="yellow"/>
        </w:rPr>
        <w:t>kriterlerinden</w:t>
      </w:r>
      <w:proofErr w:type="gramEnd"/>
      <w:r w:rsidRPr="004E5D13">
        <w:rPr>
          <w:highlight w:val="yellow"/>
        </w:rPr>
        <w:t xml:space="preserve"> biri olan ölçülülük ilkesi ise; amaç ve araç arasında makul bir ilişkinin bulunması, diğer bir deyişle yapılan sınırlamayla sağlanan yarar arasında hakkaniyete uygun bir dengenin bulunması gereğini ifade etmektedir. </w:t>
      </w:r>
      <w:proofErr w:type="gramStart"/>
      <w:r w:rsidRPr="004E5D13">
        <w:rPr>
          <w:highlight w:val="yellow"/>
        </w:rPr>
        <w:t>Bu ilkenin; sınırlayıcı önlem ile sınırlama amacı arasındaki ilişkinin denetiminde, yasal önlemin sınırlama amacına ulaşmaya elverişli olup olmadığını saptamaya yönelik "elverişlilik", sınırlayıcı önlem in sınırlama amacına ulaşma ve demokratik toplum düzeni bakımından zorunlu olup olmadığını arayan "zorunluluk", ayrıca amaç ve aracın ölçüsüz bir oranı kapsayıp kapsamadığını, bu yolla ölçüsüz bir yükümlülük getirip getirmediğini belirleyen "orantılılık" ilkeleri olmak üzere üç alt ilkesi bulunmaktadır.</w:t>
      </w:r>
      <w:proofErr w:type="gramEnd"/>
    </w:p>
    <w:p w:rsidR="00233D29" w:rsidRDefault="00233D29" w:rsidP="00233D29">
      <w:pPr>
        <w:jc w:val="both"/>
      </w:pPr>
      <w:r w:rsidRPr="004E5D13">
        <w:rPr>
          <w:highlight w:val="yellow"/>
        </w:rPr>
        <w:t xml:space="preserve">Toplantı düzenleme özgürlüğünün sınırlanmasında, "amaç"; milli güvenlik, kamu düzeni, genel sağlık ve genel ahlakın, başkalarının hak ve özgürlüklerinin korunması veya suç işlenmesinin önlenmesi; "araç" ise, toplantının ertelenmesi veya yasaklanmasıdır. Toplantının düzenlenmesi halinde, amacın gerçekleştirilmesi ( örneğin, kamu düzeninin sağlanması veya suç işlenmesinin önlenmesi ) </w:t>
      </w:r>
      <w:proofErr w:type="gramStart"/>
      <w:r w:rsidRPr="004E5D13">
        <w:rPr>
          <w:highlight w:val="yellow"/>
        </w:rPr>
        <w:t>imkansız</w:t>
      </w:r>
      <w:proofErr w:type="gramEnd"/>
      <w:r w:rsidRPr="004E5D13">
        <w:rPr>
          <w:highlight w:val="yellow"/>
        </w:rPr>
        <w:t xml:space="preserve"> hale gelecek ise, erteleme veya yasaklamanın zorunluluğundan bahsedilebilecektir. Bununla birlikte, ölçülülük ilkesinin varlığından söz edebilmek için, zorunluluk yeterli olmamakta; yukarıda aktarıldığı gibi, amaç ile araç arasında makul bir oranın bulunması da gerekmektedir. Bu bağlamda, toplantının ertelenmesi ile istenilen amaca ulaşılabileceği hallerde, yasaklama yoluna gidilmesi, ölçülülük ilkesine ve Anayasanın 13. maddesine aykırılık teşkil edecektir.</w:t>
      </w:r>
      <w:bookmarkStart w:id="0" w:name="_GoBack"/>
      <w:bookmarkEnd w:id="0"/>
    </w:p>
    <w:p w:rsidR="00233D29" w:rsidRDefault="00233D29" w:rsidP="00233D29">
      <w:pPr>
        <w:jc w:val="both"/>
      </w:pPr>
      <w:proofErr w:type="gramStart"/>
      <w:r>
        <w:t xml:space="preserve">Uyuşmazlığa konu olayda; her ne kadar, "1. Marmaris Demokrasi ve Kültür Şenliği </w:t>
      </w:r>
      <w:proofErr w:type="spellStart"/>
      <w:r>
        <w:t>Netekim</w:t>
      </w:r>
      <w:proofErr w:type="spellEnd"/>
      <w:r>
        <w:t xml:space="preserve"> Festival" adlı etkinlikle ilgili olarak bir takım siyasi parti ve sivil toplum örgütlerinin karşıt görüşlerinin basın-yayın organlarında yer alması nedeniyle söz konusu etkinliğin gerçekleşmesi halinde iki karşıt grubun karşılaşmasına sebebiyet vereceği gerekçesiyle dava konusu işlem tesis edilmiş ise de; söz konusu etkinliğin düzenlenmesi halinde suç işleneceği ne dair açık, somut ve yakın tehlike bulunduğu ortaya konulamamıştır.</w:t>
      </w:r>
      <w:proofErr w:type="gramEnd"/>
    </w:p>
    <w:p w:rsidR="00233D29" w:rsidRDefault="00233D29" w:rsidP="00233D29">
      <w:pPr>
        <w:jc w:val="both"/>
      </w:pPr>
      <w:r>
        <w:t xml:space="preserve">Kaldı ki, gerek 5442 sayılı İl İdaresi Kanununun, gerekse 2911 sayılı Yasanın kaymakamlara verdiği yetki çerçevesinde, ilçe sınırları </w:t>
      </w:r>
      <w:proofErr w:type="gramStart"/>
      <w:r>
        <w:t>dahilinde</w:t>
      </w:r>
      <w:proofErr w:type="gramEnd"/>
      <w:r>
        <w:t xml:space="preserve"> gerekli güvenlik önlemlerinin alınmasının ve </w:t>
      </w:r>
      <w:r>
        <w:lastRenderedPageBreak/>
        <w:t>ihtiyaç duyulduğunda toplantının dağıtılmasının idarenin görev ve yetkisi içinde olduğunda da kuşku bulunmamaktadır.</w:t>
      </w:r>
    </w:p>
    <w:p w:rsidR="00233D29" w:rsidRDefault="00233D29" w:rsidP="00233D29">
      <w:pPr>
        <w:jc w:val="both"/>
      </w:pPr>
      <w:r>
        <w:t>Dolayısıyla, açık, somut ve yakın tehlikeden bahsedilemeyen dava konusu olaydaki durum, ancak bir erteleme sebebi teşkil edebileceğinden; ayrıca erteleme müessesesinin işletilmesi halinde toplantı düzenleme hak ve özgürlüğünün özüne dokunulmaksızın yasal amaca ulaşılabileceğinden, etkinliğin yasaklanması yoluna başvurulmasında hukuka uyarlık bulunmamaktadır.</w:t>
      </w:r>
    </w:p>
    <w:p w:rsidR="00233D29" w:rsidRDefault="00233D29" w:rsidP="00233D29">
      <w:pPr>
        <w:jc w:val="both"/>
      </w:pPr>
      <w:proofErr w:type="gramStart"/>
      <w:r>
        <w:t>Bu durumda, İdare Mahkemesince; Anayasa ile güvence altına alınan temel hak niteliğindeki toplantı düzenleme hakkının kullanım olanağının tamamen ortadan kaldırılması sonucunu doğurarak hakkın özüne dokunan ve somut olaydaki amaç ile araç arasındaki ölçülülüğü gözetmeyen dava konusu işlemin iptali yolunda karar verilmesi gerekirken; 2911 sayılı Yasanın 17. maddesine uygun bulunduğu gerekçesiyle davanın reddine karar verilmesinde hukuki isabet bulunmamaktadır.</w:t>
      </w:r>
      <w:proofErr w:type="gramEnd"/>
    </w:p>
    <w:p w:rsidR="00482C79" w:rsidRDefault="00233D29" w:rsidP="00233D29">
      <w:pPr>
        <w:jc w:val="both"/>
      </w:pPr>
      <w:proofErr w:type="gramStart"/>
      <w:r>
        <w:t>SONUÇ : Açıklanan</w:t>
      </w:r>
      <w:proofErr w:type="gramEnd"/>
      <w:r>
        <w:t xml:space="preserve"> nedenlerle, davacının temyiz isteminin kabulü ile Muğla İdare Mahkemesinin 24.6.2005 tarih, E: 2004/1930, K:2005/801 sayılı kararının BOZULMASINA, dosyanın yeniden bir karar verilmek üzere adı geçen mahkemeye gönderilmesine, 15.09.2008 tarihinde oybirliğiyle karar verildi.</w:t>
      </w:r>
    </w:p>
    <w:sectPr w:rsidR="0048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2C4CA856"/>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51"/>
    <w:rsid w:val="00233D29"/>
    <w:rsid w:val="00482C79"/>
    <w:rsid w:val="004E5D13"/>
    <w:rsid w:val="00AE37DB"/>
    <w:rsid w:val="00FC4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7B82-ED44-48C1-B7BA-77FE9F8F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AE37DB"/>
    <w:pPr>
      <w:keepNext/>
      <w:keepLines/>
      <w:numPr>
        <w:numId w:val="3"/>
      </w:numPr>
      <w:spacing w:before="240" w:after="0"/>
      <w:outlineLvl w:val="0"/>
    </w:pPr>
    <w:rPr>
      <w:rFonts w:eastAsiaTheme="majorEastAsia" w:cstheme="majorBidi"/>
      <w:sz w:val="28"/>
      <w:szCs w:val="32"/>
    </w:rPr>
  </w:style>
  <w:style w:type="paragraph" w:styleId="Balk2">
    <w:name w:val="heading 2"/>
    <w:basedOn w:val="Normal"/>
    <w:next w:val="Normal"/>
    <w:link w:val="Balk2Char"/>
    <w:autoRedefine/>
    <w:uiPriority w:val="9"/>
    <w:semiHidden/>
    <w:unhideWhenUsed/>
    <w:qFormat/>
    <w:rsid w:val="00AE37DB"/>
    <w:pPr>
      <w:keepNext/>
      <w:keepLines/>
      <w:numPr>
        <w:ilvl w:val="1"/>
        <w:numId w:val="3"/>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AE37DB"/>
    <w:pPr>
      <w:keepNext/>
      <w:keepLines/>
      <w:numPr>
        <w:ilvl w:val="2"/>
        <w:numId w:val="3"/>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AE37DB"/>
    <w:pPr>
      <w:keepNext/>
      <w:keepLines/>
      <w:numPr>
        <w:ilvl w:val="3"/>
        <w:numId w:val="3"/>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AE37DB"/>
    <w:pPr>
      <w:keepNext/>
      <w:keepLines/>
      <w:numPr>
        <w:ilvl w:val="4"/>
        <w:numId w:val="3"/>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AE37DB"/>
    <w:pPr>
      <w:keepNext/>
      <w:keepLines/>
      <w:numPr>
        <w:ilvl w:val="5"/>
        <w:numId w:val="1"/>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37DB"/>
    <w:rPr>
      <w:rFonts w:ascii="Times New Roman" w:eastAsiaTheme="majorEastAsia" w:hAnsi="Times New Roman" w:cstheme="majorBidi"/>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3</cp:revision>
  <dcterms:created xsi:type="dcterms:W3CDTF">2018-11-07T19:13:00Z</dcterms:created>
  <dcterms:modified xsi:type="dcterms:W3CDTF">2018-11-07T19:36:00Z</dcterms:modified>
</cp:coreProperties>
</file>