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horzAnchor="margin" w:tblpXSpec="center" w:tblpY="-337"/>
        <w:tblW w:w="10881" w:type="dxa"/>
        <w:tblBorders>
          <w:top w:val="single" w:sz="18" w:space="0" w:color="auto"/>
          <w:left w:val="single" w:sz="18" w:space="0" w:color="auto"/>
          <w:bottom w:val="single" w:sz="18" w:space="0" w:color="auto"/>
          <w:right w:val="single" w:sz="18" w:space="0" w:color="auto"/>
        </w:tblBorders>
        <w:tblLayout w:type="fixed"/>
        <w:tblLook w:val="01E0" w:firstRow="1" w:lastRow="1" w:firstColumn="1" w:lastColumn="1" w:noHBand="0" w:noVBand="0"/>
      </w:tblPr>
      <w:tblGrid>
        <w:gridCol w:w="1526"/>
        <w:gridCol w:w="7796"/>
        <w:gridCol w:w="1559"/>
      </w:tblGrid>
      <w:tr w:rsidR="00B40026" w:rsidRPr="00454C22" w:rsidTr="00DC383D">
        <w:trPr>
          <w:trHeight w:val="1405"/>
        </w:trPr>
        <w:tc>
          <w:tcPr>
            <w:tcW w:w="1526" w:type="dxa"/>
            <w:tcBorders>
              <w:top w:val="single" w:sz="18" w:space="0" w:color="auto"/>
              <w:left w:val="single" w:sz="18" w:space="0" w:color="auto"/>
              <w:bottom w:val="single" w:sz="18" w:space="0" w:color="auto"/>
              <w:right w:val="single" w:sz="18" w:space="0" w:color="auto"/>
            </w:tcBorders>
            <w:vAlign w:val="center"/>
          </w:tcPr>
          <w:p w:rsidR="00B40026" w:rsidRPr="00454C22" w:rsidRDefault="00EA72DB" w:rsidP="003728F6">
            <w:pPr>
              <w:rPr>
                <w:sz w:val="22"/>
                <w:szCs w:val="22"/>
              </w:rPr>
            </w:pPr>
            <w:bookmarkStart w:id="0" w:name="_GoBack"/>
            <w:bookmarkEnd w:id="0"/>
            <w:r>
              <w:rPr>
                <w:noProof/>
                <w:sz w:val="22"/>
                <w:szCs w:val="22"/>
              </w:rPr>
              <w:drawing>
                <wp:inline distT="0" distB="0" distL="0" distR="0">
                  <wp:extent cx="857250" cy="89535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0" cy="895350"/>
                          </a:xfrm>
                          <a:prstGeom prst="rect">
                            <a:avLst/>
                          </a:prstGeom>
                          <a:noFill/>
                          <a:ln>
                            <a:noFill/>
                          </a:ln>
                        </pic:spPr>
                      </pic:pic>
                    </a:graphicData>
                  </a:graphic>
                </wp:inline>
              </w:drawing>
            </w:r>
          </w:p>
        </w:tc>
        <w:tc>
          <w:tcPr>
            <w:tcW w:w="7796" w:type="dxa"/>
            <w:tcBorders>
              <w:top w:val="single" w:sz="18" w:space="0" w:color="auto"/>
              <w:left w:val="single" w:sz="18" w:space="0" w:color="auto"/>
              <w:bottom w:val="single" w:sz="18" w:space="0" w:color="auto"/>
              <w:right w:val="single" w:sz="18" w:space="0" w:color="auto"/>
            </w:tcBorders>
            <w:vAlign w:val="center"/>
          </w:tcPr>
          <w:p w:rsidR="00B40026" w:rsidRPr="00011F74" w:rsidRDefault="00B40026" w:rsidP="003728F6">
            <w:pPr>
              <w:jc w:val="center"/>
              <w:rPr>
                <w:b/>
              </w:rPr>
            </w:pPr>
            <w:r w:rsidRPr="00011F74">
              <w:rPr>
                <w:b/>
              </w:rPr>
              <w:t>T.C.</w:t>
            </w:r>
          </w:p>
          <w:p w:rsidR="00B40026" w:rsidRPr="00011F74" w:rsidRDefault="00B40026" w:rsidP="003728F6">
            <w:pPr>
              <w:jc w:val="center"/>
              <w:rPr>
                <w:b/>
              </w:rPr>
            </w:pPr>
            <w:r w:rsidRPr="00011F74">
              <w:rPr>
                <w:b/>
              </w:rPr>
              <w:t>İSTANBUL ÜNİVERSİTESİ</w:t>
            </w:r>
          </w:p>
          <w:p w:rsidR="00B40026" w:rsidRPr="00011F74" w:rsidRDefault="00B40026" w:rsidP="003728F6">
            <w:pPr>
              <w:jc w:val="center"/>
              <w:rPr>
                <w:b/>
              </w:rPr>
            </w:pPr>
            <w:r w:rsidRPr="00011F74">
              <w:rPr>
                <w:b/>
              </w:rPr>
              <w:t>SAĞLIK BİLİMLERİ ENSTİTÜSÜ</w:t>
            </w:r>
          </w:p>
          <w:p w:rsidR="00A822F0" w:rsidRPr="00A822F0" w:rsidRDefault="00E85CE7" w:rsidP="00D609EB">
            <w:pPr>
              <w:jc w:val="center"/>
              <w:rPr>
                <w:b/>
                <w:sz w:val="22"/>
                <w:szCs w:val="22"/>
              </w:rPr>
            </w:pPr>
            <w:r>
              <w:rPr>
                <w:b/>
              </w:rPr>
              <w:t xml:space="preserve">YÜKSEK LİSANS </w:t>
            </w:r>
            <w:r w:rsidR="00D609EB">
              <w:rPr>
                <w:b/>
              </w:rPr>
              <w:t>TEZ İNTİHAL RAPORU BAŞVURU</w:t>
            </w:r>
            <w:r w:rsidR="004409B6">
              <w:rPr>
                <w:b/>
              </w:rPr>
              <w:t xml:space="preserve"> FORMU</w:t>
            </w:r>
          </w:p>
        </w:tc>
        <w:tc>
          <w:tcPr>
            <w:tcW w:w="1559" w:type="dxa"/>
            <w:tcBorders>
              <w:top w:val="single" w:sz="18" w:space="0" w:color="auto"/>
              <w:left w:val="single" w:sz="18" w:space="0" w:color="auto"/>
              <w:bottom w:val="single" w:sz="18" w:space="0" w:color="auto"/>
              <w:right w:val="single" w:sz="18" w:space="0" w:color="auto"/>
            </w:tcBorders>
          </w:tcPr>
          <w:p w:rsidR="00B40026" w:rsidRPr="00454C22" w:rsidRDefault="00EA72DB" w:rsidP="00966CBB">
            <w:pPr>
              <w:ind w:left="-102"/>
              <w:rPr>
                <w:sz w:val="22"/>
                <w:szCs w:val="22"/>
              </w:rPr>
            </w:pPr>
            <w:r>
              <w:rPr>
                <w:noProof/>
              </w:rPr>
              <w:drawing>
                <wp:inline distT="0" distB="0" distL="0" distR="0">
                  <wp:extent cx="981075" cy="952500"/>
                  <wp:effectExtent l="0" t="0" r="9525" b="0"/>
                  <wp:docPr id="2" name="Resim 2" descr="SBE-LOGO-Türkç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BE-LOGO-Türkç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1075" cy="952500"/>
                          </a:xfrm>
                          <a:prstGeom prst="rect">
                            <a:avLst/>
                          </a:prstGeom>
                          <a:noFill/>
                          <a:ln>
                            <a:noFill/>
                          </a:ln>
                        </pic:spPr>
                      </pic:pic>
                    </a:graphicData>
                  </a:graphic>
                </wp:inline>
              </w:drawing>
            </w:r>
          </w:p>
        </w:tc>
      </w:tr>
    </w:tbl>
    <w:p w:rsidR="00A822F0" w:rsidRDefault="00A822F0" w:rsidP="00A822F0"/>
    <w:p w:rsidR="00B76E93" w:rsidRPr="009C0F8B" w:rsidRDefault="00BD1E15" w:rsidP="00BD1E15">
      <w:pPr>
        <w:jc w:val="right"/>
      </w:pPr>
      <w:r w:rsidRPr="009C0F8B">
        <w:t xml:space="preserve">   </w:t>
      </w:r>
      <w:r w:rsidR="0086784B" w:rsidRPr="009C0F8B">
        <w:t xml:space="preserve">... </w:t>
      </w:r>
      <w:r w:rsidRPr="009C0F8B">
        <w:t>/</w:t>
      </w:r>
      <w:r w:rsidR="0086784B" w:rsidRPr="009C0F8B">
        <w:t xml:space="preserve"> …</w:t>
      </w:r>
      <w:r w:rsidRPr="009C0F8B">
        <w:t xml:space="preserve"> /201.</w:t>
      </w:r>
    </w:p>
    <w:p w:rsidR="00EC07A2" w:rsidRPr="00EC07A2" w:rsidRDefault="00EC07A2" w:rsidP="00EC07A2">
      <w:pPr>
        <w:pStyle w:val="stbilgi"/>
        <w:jc w:val="center"/>
      </w:pPr>
      <w:r w:rsidRPr="0078489E">
        <w:rPr>
          <w:b/>
          <w:bCs/>
        </w:rPr>
        <w:t>İSTANBUL ÜNİVERSİTESİ</w:t>
      </w:r>
    </w:p>
    <w:p w:rsidR="00B76E93" w:rsidRPr="009C0F8B" w:rsidRDefault="00B76E93" w:rsidP="00EC07A2">
      <w:pPr>
        <w:jc w:val="center"/>
        <w:rPr>
          <w:b/>
        </w:rPr>
      </w:pPr>
      <w:r w:rsidRPr="009C0F8B">
        <w:rPr>
          <w:b/>
        </w:rPr>
        <w:t>SAĞLI</w:t>
      </w:r>
      <w:r w:rsidR="003F5300" w:rsidRPr="009C0F8B">
        <w:rPr>
          <w:b/>
        </w:rPr>
        <w:t>K BİLİMLERİ ENSTİTÜSÜ MÜDÜRLÜĞÜ</w:t>
      </w:r>
      <w:r w:rsidR="004C4BAE" w:rsidRPr="009C0F8B">
        <w:rPr>
          <w:b/>
        </w:rPr>
        <w:t>’</w:t>
      </w:r>
      <w:r w:rsidRPr="009C0F8B">
        <w:rPr>
          <w:b/>
        </w:rPr>
        <w:t>NE</w:t>
      </w:r>
    </w:p>
    <w:p w:rsidR="009C0F8B" w:rsidRDefault="00D609EB" w:rsidP="00274EA5">
      <w:pPr>
        <w:spacing w:before="120" w:after="120" w:line="360" w:lineRule="auto"/>
        <w:ind w:left="-567" w:right="-569" w:firstLine="993"/>
        <w:jc w:val="both"/>
        <w:rPr>
          <w:rFonts w:eastAsia="ヒラギノ明朝 Pro W3"/>
        </w:rPr>
      </w:pPr>
      <w:r w:rsidRPr="009C0F8B">
        <w:rPr>
          <w:rFonts w:eastAsia="ヒラギノ明朝 Pro W3"/>
        </w:rPr>
        <w:t>Enstitünüz</w:t>
      </w:r>
      <w:r w:rsidR="00B05B73" w:rsidRPr="009C0F8B">
        <w:rPr>
          <w:rFonts w:eastAsia="ヒラギノ明朝 Pro W3"/>
        </w:rPr>
        <w:t xml:space="preserve"> </w:t>
      </w:r>
      <w:r w:rsidR="00C56914" w:rsidRPr="009C0F8B">
        <w:rPr>
          <w:rFonts w:eastAsia="ヒラギノ明朝 Pro W3"/>
        </w:rPr>
        <w:t>. . . . . . . . . . . . . . . . . .</w:t>
      </w:r>
      <w:r w:rsidR="00C46325">
        <w:rPr>
          <w:rFonts w:eastAsia="ヒラギノ明朝 Pro W3"/>
        </w:rPr>
        <w:t xml:space="preserve"> . . . . . . . . . . . .</w:t>
      </w:r>
      <w:r w:rsidR="009C0F8B" w:rsidRPr="009C0F8B">
        <w:rPr>
          <w:rFonts w:eastAsia="ヒラギノ明朝 Pro W3"/>
        </w:rPr>
        <w:t xml:space="preserve"> </w:t>
      </w:r>
      <w:r w:rsidR="00C46325" w:rsidRPr="00C46325">
        <w:rPr>
          <w:rFonts w:eastAsia="ヒラギノ明朝 Pro W3"/>
          <w:b/>
        </w:rPr>
        <w:t>Tezli Yüksek Lisans</w:t>
      </w:r>
      <w:r w:rsidR="00C46325">
        <w:rPr>
          <w:rFonts w:eastAsia="ヒラギノ明朝 Pro W3"/>
        </w:rPr>
        <w:t xml:space="preserve"> </w:t>
      </w:r>
      <w:r w:rsidR="00B05B73" w:rsidRPr="009C0F8B">
        <w:rPr>
          <w:rFonts w:eastAsia="ヒラギノ明朝 Pro W3"/>
          <w:b/>
        </w:rPr>
        <w:t>P</w:t>
      </w:r>
      <w:r w:rsidRPr="009C0F8B">
        <w:rPr>
          <w:rFonts w:eastAsia="ヒラギノ明朝 Pro W3"/>
          <w:b/>
        </w:rPr>
        <w:t>rogra</w:t>
      </w:r>
      <w:r w:rsidR="00B05B73" w:rsidRPr="009C0F8B">
        <w:rPr>
          <w:rFonts w:eastAsia="ヒラギノ明朝 Pro W3"/>
          <w:b/>
        </w:rPr>
        <w:t>m</w:t>
      </w:r>
      <w:r w:rsidRPr="009C0F8B">
        <w:rPr>
          <w:rFonts w:eastAsia="ヒラギノ明朝 Pro W3"/>
          <w:b/>
        </w:rPr>
        <w:t>ı</w:t>
      </w:r>
      <w:r w:rsidRPr="009C0F8B">
        <w:rPr>
          <w:rFonts w:eastAsia="ヒラギノ明朝 Pro W3"/>
        </w:rPr>
        <w:t xml:space="preserve"> öğrencisi</w:t>
      </w:r>
      <w:r w:rsidR="00B05B73" w:rsidRPr="009C0F8B">
        <w:rPr>
          <w:rFonts w:eastAsia="ヒラギノ明朝 Pro W3"/>
        </w:rPr>
        <w:t xml:space="preserve"> </w:t>
      </w:r>
      <w:r w:rsidR="00E11D32">
        <w:rPr>
          <w:rFonts w:eastAsia="ヒラギノ明朝 Pro W3"/>
        </w:rPr>
        <w:t xml:space="preserve">olan </w:t>
      </w:r>
      <w:r w:rsidR="00B05B73" w:rsidRPr="009C0F8B">
        <w:rPr>
          <w:rFonts w:eastAsia="ヒラギノ明朝 Pro W3"/>
        </w:rPr>
        <w:t>. . . . . . . . . . . . . . .</w:t>
      </w:r>
      <w:r w:rsidR="00E532F6">
        <w:rPr>
          <w:rFonts w:eastAsia="ヒラギノ明朝 Pro W3"/>
        </w:rPr>
        <w:t xml:space="preserve"> . . . . . . . </w:t>
      </w:r>
      <w:r w:rsidR="00C46325">
        <w:rPr>
          <w:rFonts w:eastAsia="ヒラギノ明朝 Pro W3"/>
        </w:rPr>
        <w:t xml:space="preserve">. . . . </w:t>
      </w:r>
      <w:r w:rsidR="00B05B73" w:rsidRPr="009C0F8B">
        <w:rPr>
          <w:rFonts w:eastAsia="ヒラギノ明朝 Pro W3"/>
        </w:rPr>
        <w:t xml:space="preserve">tezini </w:t>
      </w:r>
      <w:r w:rsidR="009C0F8B" w:rsidRPr="009C0F8B">
        <w:rPr>
          <w:rFonts w:eastAsia="ヒラギノ明朝 Pro W3"/>
        </w:rPr>
        <w:t xml:space="preserve">başarı ile </w:t>
      </w:r>
      <w:r w:rsidR="00B05B73" w:rsidRPr="009C0F8B">
        <w:rPr>
          <w:rFonts w:eastAsia="ヒラギノ明朝 Pro W3"/>
        </w:rPr>
        <w:t xml:space="preserve">tamamlayarak tarafıma sunmuştur. </w:t>
      </w:r>
      <w:r w:rsidR="00DA6FAE" w:rsidRPr="009C0F8B">
        <w:rPr>
          <w:rFonts w:eastAsia="ヒラギノ明朝 Pro W3"/>
        </w:rPr>
        <w:t>08.09.2016 tarihinde yayınlanan</w:t>
      </w:r>
      <w:r w:rsidRPr="009C0F8B">
        <w:rPr>
          <w:rFonts w:eastAsia="ヒラギノ明朝 Pro W3"/>
        </w:rPr>
        <w:t xml:space="preserve"> </w:t>
      </w:r>
      <w:r w:rsidR="00DA6FAE" w:rsidRPr="009C0F8B">
        <w:rPr>
          <w:rFonts w:eastAsia="ヒラギノ明朝 Pro W3"/>
        </w:rPr>
        <w:t xml:space="preserve">29825 sayılı İstanbul Üniversitesi Lisansüstü </w:t>
      </w:r>
      <w:r w:rsidR="009A2585" w:rsidRPr="009C0F8B">
        <w:rPr>
          <w:rFonts w:eastAsia="ヒラギノ明朝 Pro W3"/>
        </w:rPr>
        <w:t>E</w:t>
      </w:r>
      <w:r w:rsidR="00D82EA5">
        <w:rPr>
          <w:rFonts w:eastAsia="ヒラギノ明朝 Pro W3"/>
        </w:rPr>
        <w:t>ğitim Öğretim Yönetmeliğinin 36-2</w:t>
      </w:r>
      <w:r w:rsidR="009A2585" w:rsidRPr="009C0F8B">
        <w:rPr>
          <w:rFonts w:eastAsia="ヒラギノ明朝 Pro W3"/>
        </w:rPr>
        <w:t xml:space="preserve">. </w:t>
      </w:r>
      <w:r w:rsidR="009C0F8B" w:rsidRPr="009C0F8B">
        <w:rPr>
          <w:rFonts w:eastAsia="ヒラギノ明朝 Pro W3"/>
        </w:rPr>
        <w:t xml:space="preserve">maddesi uyarınca </w:t>
      </w:r>
      <w:r w:rsidRPr="009C0F8B">
        <w:rPr>
          <w:rFonts w:eastAsia="ヒラギノ明朝 Pro W3"/>
        </w:rPr>
        <w:t>“……….……………………</w:t>
      </w:r>
      <w:r w:rsidR="009C0F8B" w:rsidRPr="009C0F8B">
        <w:rPr>
          <w:rFonts w:eastAsia="ヒラギノ明朝 Pro W3"/>
        </w:rPr>
        <w:t>..…………………</w:t>
      </w:r>
      <w:r w:rsidR="00B05B73" w:rsidRPr="009C0F8B">
        <w:rPr>
          <w:rFonts w:eastAsia="ヒラギノ明朝 Pro W3"/>
        </w:rPr>
        <w:t>” başlıklı tez</w:t>
      </w:r>
      <w:r w:rsidRPr="009C0F8B">
        <w:rPr>
          <w:rFonts w:eastAsia="ヒラギノ明朝 Pro W3"/>
        </w:rPr>
        <w:t xml:space="preserve">in </w:t>
      </w:r>
      <w:r w:rsidRPr="009C0F8B">
        <w:rPr>
          <w:rFonts w:eastAsia="ヒラギノ明朝 Pro W3"/>
          <w:b/>
        </w:rPr>
        <w:t>İ</w:t>
      </w:r>
      <w:r w:rsidR="00B05B73" w:rsidRPr="009C0F8B">
        <w:rPr>
          <w:rFonts w:eastAsia="ヒラギノ明朝 Pro W3"/>
          <w:b/>
        </w:rPr>
        <w:t>ntihal Raporunun</w:t>
      </w:r>
      <w:r w:rsidR="00B05B73" w:rsidRPr="009C0F8B">
        <w:rPr>
          <w:rFonts w:eastAsia="ヒラギノ明朝 Pro W3"/>
        </w:rPr>
        <w:t xml:space="preserve"> (Benzerlik Ön D</w:t>
      </w:r>
      <w:r w:rsidR="00232511" w:rsidRPr="009C0F8B">
        <w:rPr>
          <w:rFonts w:eastAsia="ヒラギノ明朝 Pro W3"/>
        </w:rPr>
        <w:t>eğerlendirmesi) TURNITIN</w:t>
      </w:r>
      <w:r w:rsidRPr="009C0F8B">
        <w:rPr>
          <w:rFonts w:eastAsia="ヒラギノ明朝 Pro W3"/>
        </w:rPr>
        <w:t xml:space="preserve"> yazılım progr</w:t>
      </w:r>
      <w:r w:rsidR="00C22FC4" w:rsidRPr="009C0F8B">
        <w:rPr>
          <w:rFonts w:eastAsia="ヒラギノ明朝 Pro W3"/>
        </w:rPr>
        <w:t>amında Enstitünüzce y</w:t>
      </w:r>
      <w:r w:rsidR="00ED4195">
        <w:rPr>
          <w:rFonts w:eastAsia="ヒラギノ明朝 Pro W3"/>
        </w:rPr>
        <w:t>apılmasını, bulunan sonucun</w:t>
      </w:r>
      <w:r w:rsidR="00232511" w:rsidRPr="009C0F8B">
        <w:rPr>
          <w:rFonts w:eastAsia="ヒラギノ明朝 Pro W3"/>
        </w:rPr>
        <w:t xml:space="preserve"> öğrenci</w:t>
      </w:r>
      <w:r w:rsidR="00C22FC4" w:rsidRPr="009C0F8B">
        <w:rPr>
          <w:rFonts w:eastAsia="ヒラギノ明朝 Pro W3"/>
        </w:rPr>
        <w:t xml:space="preserve"> ve tarafıma iletilmesini </w:t>
      </w:r>
      <w:r w:rsidRPr="009C0F8B">
        <w:rPr>
          <w:rFonts w:eastAsia="ヒラギノ明朝 Pro W3"/>
        </w:rPr>
        <w:t xml:space="preserve">arz ederim. </w:t>
      </w:r>
    </w:p>
    <w:p w:rsidR="00232511" w:rsidRPr="009C0F8B" w:rsidRDefault="009C0F8B" w:rsidP="009C0F8B">
      <w:pPr>
        <w:ind w:left="6513" w:right="-569" w:firstLine="567"/>
        <w:jc w:val="both"/>
        <w:rPr>
          <w:rFonts w:eastAsia="ヒラギノ明朝 Pro W3"/>
        </w:rPr>
      </w:pPr>
      <w:r>
        <w:rPr>
          <w:b/>
        </w:rPr>
        <w:t xml:space="preserve"> </w:t>
      </w:r>
      <w:r w:rsidR="00232511" w:rsidRPr="009C0F8B">
        <w:rPr>
          <w:b/>
        </w:rPr>
        <w:t xml:space="preserve">Danışman </w:t>
      </w:r>
    </w:p>
    <w:p w:rsidR="00B76E93" w:rsidRPr="009C0F8B" w:rsidRDefault="00232511" w:rsidP="009C0F8B">
      <w:pPr>
        <w:ind w:left="6500" w:right="-284"/>
        <w:rPr>
          <w:b/>
        </w:rPr>
      </w:pPr>
      <w:r w:rsidRPr="009C0F8B">
        <w:rPr>
          <w:b/>
        </w:rPr>
        <w:t xml:space="preserve">Prof. / Doç. Dr. </w:t>
      </w:r>
      <w:r w:rsidR="007B7BF9" w:rsidRPr="009C0F8B">
        <w:rPr>
          <w:b/>
        </w:rPr>
        <w:t>Adı-</w:t>
      </w:r>
      <w:r w:rsidR="00BD1E15" w:rsidRPr="009C0F8B">
        <w:rPr>
          <w:b/>
        </w:rPr>
        <w:t>Soyadı</w:t>
      </w:r>
    </w:p>
    <w:p w:rsidR="00B76E93" w:rsidRPr="009C0F8B" w:rsidRDefault="00232511" w:rsidP="009C0F8B">
      <w:pPr>
        <w:ind w:left="6500" w:firstLine="580"/>
        <w:rPr>
          <w:b/>
        </w:rPr>
      </w:pPr>
      <w:r w:rsidRPr="009C0F8B">
        <w:rPr>
          <w:b/>
        </w:rPr>
        <w:t xml:space="preserve">     </w:t>
      </w:r>
      <w:r w:rsidR="00BD1E15" w:rsidRPr="009C0F8B">
        <w:rPr>
          <w:b/>
        </w:rPr>
        <w:t>İmza</w:t>
      </w:r>
    </w:p>
    <w:p w:rsidR="002C74C5" w:rsidRPr="009C0F8B" w:rsidRDefault="002C74C5" w:rsidP="005C273A">
      <w:pPr>
        <w:rPr>
          <w:b/>
        </w:rPr>
      </w:pPr>
    </w:p>
    <w:p w:rsidR="009C0F8B" w:rsidRPr="009C0F8B" w:rsidRDefault="009C0F8B" w:rsidP="00E532F6">
      <w:pPr>
        <w:ind w:left="-567"/>
        <w:rPr>
          <w:b/>
        </w:rPr>
      </w:pPr>
      <w:r w:rsidRPr="009C0F8B">
        <w:rPr>
          <w:rFonts w:eastAsia="ヒラギノ明朝 Pro W3"/>
          <w:b/>
        </w:rPr>
        <w:t>Eki:</w:t>
      </w:r>
      <w:r w:rsidRPr="009C0F8B">
        <w:rPr>
          <w:rFonts w:eastAsia="ヒラギノ明朝 Pro W3"/>
        </w:rPr>
        <w:t xml:space="preserve"> </w:t>
      </w:r>
      <w:r w:rsidRPr="008624E2">
        <w:rPr>
          <w:rFonts w:eastAsia="ヒラギノ明朝 Pro W3"/>
          <w:sz w:val="22"/>
          <w:szCs w:val="22"/>
        </w:rPr>
        <w:t>1 adet CD</w:t>
      </w:r>
      <w:r w:rsidR="00E532F6" w:rsidRPr="008624E2">
        <w:rPr>
          <w:rFonts w:eastAsia="ヒラギノ明朝 Pro W3"/>
          <w:sz w:val="22"/>
          <w:szCs w:val="22"/>
        </w:rPr>
        <w:t xml:space="preserve"> (içerisinde dosya adı “büyük harflerle tezin başlığı yazılı” olan </w:t>
      </w:r>
      <w:r w:rsidR="008624E2" w:rsidRPr="008624E2">
        <w:rPr>
          <w:rFonts w:eastAsia="ヒラギノ明朝 Pro W3"/>
          <w:sz w:val="22"/>
          <w:szCs w:val="22"/>
        </w:rPr>
        <w:t xml:space="preserve">MS </w:t>
      </w:r>
      <w:r w:rsidR="00E532F6" w:rsidRPr="008624E2">
        <w:rPr>
          <w:rFonts w:eastAsia="ヒラギノ明朝 Pro W3"/>
          <w:sz w:val="22"/>
          <w:szCs w:val="22"/>
        </w:rPr>
        <w:t>word doc</w:t>
      </w:r>
      <w:r w:rsidR="008624E2">
        <w:rPr>
          <w:rFonts w:eastAsia="ヒラギノ明朝 Pro W3"/>
          <w:sz w:val="22"/>
          <w:szCs w:val="22"/>
        </w:rPr>
        <w:t>x</w:t>
      </w:r>
      <w:r w:rsidR="00E532F6" w:rsidRPr="008624E2">
        <w:rPr>
          <w:rFonts w:eastAsia="ヒラギノ明朝 Pro W3"/>
          <w:sz w:val="22"/>
          <w:szCs w:val="22"/>
        </w:rPr>
        <w:t>. dosyası).</w:t>
      </w:r>
    </w:p>
    <w:p w:rsidR="009C0F8B" w:rsidRPr="009C0F8B" w:rsidRDefault="009C0F8B" w:rsidP="009C0F8B">
      <w:pPr>
        <w:ind w:left="-567"/>
      </w:pPr>
    </w:p>
    <w:tbl>
      <w:tblPr>
        <w:tblW w:w="10490" w:type="dxa"/>
        <w:tblInd w:w="-639" w:type="dxa"/>
        <w:tblLayout w:type="fixed"/>
        <w:tblCellMar>
          <w:left w:w="70" w:type="dxa"/>
          <w:right w:w="70" w:type="dxa"/>
        </w:tblCellMar>
        <w:tblLook w:val="0000" w:firstRow="0" w:lastRow="0" w:firstColumn="0" w:lastColumn="0" w:noHBand="0" w:noVBand="0"/>
      </w:tblPr>
      <w:tblGrid>
        <w:gridCol w:w="1135"/>
        <w:gridCol w:w="3969"/>
        <w:gridCol w:w="3402"/>
        <w:gridCol w:w="1984"/>
      </w:tblGrid>
      <w:tr w:rsidR="00717A07" w:rsidRPr="005A671C" w:rsidTr="0020737D">
        <w:trPr>
          <w:trHeight w:val="537"/>
        </w:trPr>
        <w:tc>
          <w:tcPr>
            <w:tcW w:w="1135" w:type="dxa"/>
            <w:tcBorders>
              <w:top w:val="single" w:sz="4" w:space="0" w:color="00000A"/>
              <w:left w:val="single" w:sz="4" w:space="0" w:color="00000A"/>
              <w:right w:val="single" w:sz="4" w:space="0" w:color="00000A"/>
            </w:tcBorders>
            <w:shd w:val="clear" w:color="000000" w:fill="FFFFFF"/>
            <w:vAlign w:val="center"/>
          </w:tcPr>
          <w:p w:rsidR="00717A07" w:rsidRPr="0020737D" w:rsidRDefault="00717A07" w:rsidP="00717A07">
            <w:pPr>
              <w:autoSpaceDE w:val="0"/>
              <w:autoSpaceDN w:val="0"/>
              <w:adjustRightInd w:val="0"/>
              <w:spacing w:before="120" w:after="120"/>
              <w:rPr>
                <w:sz w:val="20"/>
                <w:szCs w:val="20"/>
              </w:rPr>
            </w:pPr>
            <w:r w:rsidRPr="0020737D">
              <w:rPr>
                <w:b/>
                <w:sz w:val="20"/>
                <w:szCs w:val="20"/>
              </w:rPr>
              <w:t>Öğrenci</w:t>
            </w:r>
          </w:p>
        </w:tc>
        <w:tc>
          <w:tcPr>
            <w:tcW w:w="3969" w:type="dxa"/>
            <w:tcBorders>
              <w:top w:val="single" w:sz="4" w:space="0" w:color="00000A"/>
              <w:left w:val="single" w:sz="4" w:space="0" w:color="00000A"/>
              <w:right w:val="single" w:sz="4" w:space="0" w:color="00000A"/>
            </w:tcBorders>
            <w:shd w:val="clear" w:color="000000" w:fill="FFFFFF"/>
            <w:vAlign w:val="center"/>
          </w:tcPr>
          <w:p w:rsidR="00717A07" w:rsidRPr="0020737D" w:rsidRDefault="00717A07" w:rsidP="00717A07">
            <w:pPr>
              <w:autoSpaceDE w:val="0"/>
              <w:autoSpaceDN w:val="0"/>
              <w:adjustRightInd w:val="0"/>
              <w:spacing w:before="120" w:after="120"/>
              <w:rPr>
                <w:sz w:val="16"/>
                <w:szCs w:val="16"/>
              </w:rPr>
            </w:pPr>
            <w:r w:rsidRPr="0020737D">
              <w:rPr>
                <w:b/>
                <w:sz w:val="16"/>
                <w:szCs w:val="16"/>
              </w:rPr>
              <w:t>Adı-Soyadı</w:t>
            </w:r>
            <w:r w:rsidR="0020737D" w:rsidRPr="0020737D">
              <w:rPr>
                <w:b/>
                <w:sz w:val="16"/>
                <w:szCs w:val="16"/>
              </w:rPr>
              <w:t>:</w:t>
            </w:r>
          </w:p>
        </w:tc>
        <w:tc>
          <w:tcPr>
            <w:tcW w:w="3402" w:type="dxa"/>
            <w:tcBorders>
              <w:top w:val="single" w:sz="4" w:space="0" w:color="00000A"/>
              <w:left w:val="single" w:sz="4" w:space="0" w:color="00000A"/>
              <w:bottom w:val="nil"/>
              <w:right w:val="single" w:sz="4" w:space="0" w:color="00000A"/>
            </w:tcBorders>
            <w:shd w:val="clear" w:color="000000" w:fill="FFFFFF"/>
            <w:vAlign w:val="center"/>
          </w:tcPr>
          <w:p w:rsidR="00717A07" w:rsidRPr="009C0F8B" w:rsidRDefault="00717A07" w:rsidP="00717A07">
            <w:pPr>
              <w:spacing w:after="120"/>
              <w:ind w:left="4956" w:hanging="4956"/>
              <w:rPr>
                <w:b/>
                <w:sz w:val="18"/>
                <w:szCs w:val="18"/>
              </w:rPr>
            </w:pPr>
            <w:r w:rsidRPr="009C0F8B">
              <w:rPr>
                <w:b/>
                <w:sz w:val="18"/>
                <w:szCs w:val="18"/>
              </w:rPr>
              <w:t xml:space="preserve">E-posta: </w:t>
            </w:r>
            <w:r w:rsidR="0020737D">
              <w:rPr>
                <w:b/>
                <w:sz w:val="18"/>
                <w:szCs w:val="18"/>
              </w:rPr>
              <w:t xml:space="preserve">                    </w:t>
            </w:r>
            <w:r w:rsidR="0020737D" w:rsidRPr="0020737D">
              <w:rPr>
                <w:sz w:val="18"/>
                <w:szCs w:val="18"/>
              </w:rPr>
              <w:t>@istanbul.edu.tr</w:t>
            </w:r>
          </w:p>
        </w:tc>
        <w:tc>
          <w:tcPr>
            <w:tcW w:w="1984" w:type="dxa"/>
            <w:tcBorders>
              <w:top w:val="single" w:sz="4" w:space="0" w:color="00000A"/>
              <w:left w:val="single" w:sz="4" w:space="0" w:color="00000A"/>
              <w:bottom w:val="nil"/>
              <w:right w:val="single" w:sz="4" w:space="0" w:color="00000A"/>
            </w:tcBorders>
            <w:shd w:val="clear" w:color="000000" w:fill="FFFFFF"/>
            <w:vAlign w:val="center"/>
          </w:tcPr>
          <w:p w:rsidR="00717A07" w:rsidRPr="009C0F8B" w:rsidRDefault="0020737D" w:rsidP="0020737D">
            <w:pPr>
              <w:autoSpaceDE w:val="0"/>
              <w:autoSpaceDN w:val="0"/>
              <w:adjustRightInd w:val="0"/>
              <w:spacing w:before="120" w:after="120"/>
              <w:rPr>
                <w:sz w:val="18"/>
                <w:szCs w:val="18"/>
              </w:rPr>
            </w:pPr>
            <w:r>
              <w:rPr>
                <w:b/>
                <w:sz w:val="18"/>
                <w:szCs w:val="18"/>
              </w:rPr>
              <w:t>Cep t</w:t>
            </w:r>
            <w:r w:rsidR="00717A07" w:rsidRPr="009C0F8B">
              <w:rPr>
                <w:b/>
                <w:sz w:val="18"/>
                <w:szCs w:val="18"/>
              </w:rPr>
              <w:t>el:</w:t>
            </w:r>
          </w:p>
        </w:tc>
      </w:tr>
      <w:tr w:rsidR="00717A07" w:rsidRPr="005A671C" w:rsidTr="0020737D">
        <w:trPr>
          <w:trHeight w:val="195"/>
        </w:trPr>
        <w:tc>
          <w:tcPr>
            <w:tcW w:w="1135"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717A07" w:rsidRPr="0020737D" w:rsidRDefault="00717A07" w:rsidP="00717A07">
            <w:pPr>
              <w:autoSpaceDE w:val="0"/>
              <w:autoSpaceDN w:val="0"/>
              <w:adjustRightInd w:val="0"/>
              <w:spacing w:before="120" w:after="120"/>
              <w:rPr>
                <w:b/>
                <w:sz w:val="20"/>
                <w:szCs w:val="20"/>
              </w:rPr>
            </w:pPr>
            <w:r w:rsidRPr="0020737D">
              <w:rPr>
                <w:b/>
                <w:sz w:val="20"/>
                <w:szCs w:val="20"/>
              </w:rPr>
              <w:t xml:space="preserve">Danışman </w:t>
            </w:r>
          </w:p>
        </w:tc>
        <w:tc>
          <w:tcPr>
            <w:tcW w:w="396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717A07" w:rsidRPr="0020737D" w:rsidRDefault="0020737D" w:rsidP="004657C1">
            <w:pPr>
              <w:autoSpaceDE w:val="0"/>
              <w:autoSpaceDN w:val="0"/>
              <w:adjustRightInd w:val="0"/>
              <w:spacing w:before="120" w:after="120"/>
              <w:jc w:val="both"/>
              <w:rPr>
                <w:sz w:val="16"/>
                <w:szCs w:val="16"/>
              </w:rPr>
            </w:pPr>
            <w:r w:rsidRPr="0020737D">
              <w:rPr>
                <w:b/>
                <w:sz w:val="16"/>
                <w:szCs w:val="16"/>
              </w:rPr>
              <w:t xml:space="preserve">Unvan </w:t>
            </w:r>
            <w:r w:rsidR="00717A07" w:rsidRPr="0020737D">
              <w:rPr>
                <w:b/>
                <w:sz w:val="16"/>
                <w:szCs w:val="16"/>
              </w:rPr>
              <w:t>Adı-Soyadı</w:t>
            </w:r>
            <w:r w:rsidRPr="0020737D">
              <w:rPr>
                <w:b/>
                <w:sz w:val="16"/>
                <w:szCs w:val="16"/>
              </w:rPr>
              <w:t>:</w:t>
            </w:r>
            <w:r>
              <w:rPr>
                <w:b/>
                <w:sz w:val="16"/>
                <w:szCs w:val="16"/>
              </w:rPr>
              <w:t xml:space="preserve"> </w:t>
            </w:r>
          </w:p>
        </w:tc>
        <w:tc>
          <w:tcPr>
            <w:tcW w:w="3402"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717A07" w:rsidRPr="009C0F8B" w:rsidRDefault="00717A07" w:rsidP="0020737D">
            <w:pPr>
              <w:spacing w:after="120"/>
              <w:ind w:left="4956" w:hanging="4956"/>
              <w:rPr>
                <w:b/>
                <w:sz w:val="18"/>
                <w:szCs w:val="18"/>
              </w:rPr>
            </w:pPr>
            <w:r w:rsidRPr="009C0F8B">
              <w:rPr>
                <w:b/>
                <w:sz w:val="18"/>
                <w:szCs w:val="18"/>
              </w:rPr>
              <w:t xml:space="preserve">E-posta: </w:t>
            </w:r>
            <w:r w:rsidR="0020737D">
              <w:rPr>
                <w:b/>
                <w:sz w:val="18"/>
                <w:szCs w:val="18"/>
              </w:rPr>
              <w:t xml:space="preserve">                     </w:t>
            </w:r>
            <w:r w:rsidR="0020737D" w:rsidRPr="0020737D">
              <w:rPr>
                <w:sz w:val="18"/>
                <w:szCs w:val="18"/>
              </w:rPr>
              <w:t>@istanbul.edu.tr</w:t>
            </w:r>
          </w:p>
        </w:tc>
        <w:tc>
          <w:tcPr>
            <w:tcW w:w="1984"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717A07" w:rsidRPr="009C0F8B" w:rsidRDefault="0020737D" w:rsidP="0020737D">
            <w:pPr>
              <w:autoSpaceDE w:val="0"/>
              <w:autoSpaceDN w:val="0"/>
              <w:adjustRightInd w:val="0"/>
              <w:spacing w:before="120" w:after="120"/>
              <w:rPr>
                <w:sz w:val="18"/>
                <w:szCs w:val="18"/>
              </w:rPr>
            </w:pPr>
            <w:r>
              <w:rPr>
                <w:b/>
                <w:sz w:val="18"/>
                <w:szCs w:val="18"/>
              </w:rPr>
              <w:t>Cep t</w:t>
            </w:r>
            <w:r w:rsidR="00717A07" w:rsidRPr="009C0F8B">
              <w:rPr>
                <w:b/>
                <w:sz w:val="18"/>
                <w:szCs w:val="18"/>
              </w:rPr>
              <w:t>el:</w:t>
            </w:r>
          </w:p>
        </w:tc>
      </w:tr>
    </w:tbl>
    <w:p w:rsidR="00717A07" w:rsidRDefault="00717A07" w:rsidP="005C273A">
      <w:pPr>
        <w:rPr>
          <w:b/>
        </w:rPr>
      </w:pPr>
    </w:p>
    <w:p w:rsidR="002E2A71" w:rsidRPr="00D2052F" w:rsidRDefault="002E2A71" w:rsidP="00E532F6">
      <w:pPr>
        <w:ind w:left="-567" w:right="-569"/>
        <w:jc w:val="center"/>
        <w:rPr>
          <w:b/>
          <w:szCs w:val="22"/>
          <w:u w:val="single"/>
        </w:rPr>
      </w:pPr>
      <w:r w:rsidRPr="00E532F6">
        <w:rPr>
          <w:b/>
          <w:sz w:val="22"/>
          <w:szCs w:val="22"/>
          <w:u w:val="single"/>
        </w:rPr>
        <w:t xml:space="preserve">İntihal Raporu İçin Gönderilecek Dosyanın Hazırlanmasında </w:t>
      </w:r>
      <w:r w:rsidR="00274EA5">
        <w:rPr>
          <w:b/>
          <w:sz w:val="22"/>
          <w:szCs w:val="22"/>
          <w:u w:val="single"/>
        </w:rPr>
        <w:t>Dikkat Edilecek Önemli Hususlar</w:t>
      </w:r>
      <w:r w:rsidR="00D2052F">
        <w:rPr>
          <w:b/>
          <w:szCs w:val="22"/>
          <w:u w:val="single"/>
        </w:rPr>
        <w:t>:</w:t>
      </w:r>
    </w:p>
    <w:p w:rsidR="002E2A71" w:rsidRPr="00274EA5" w:rsidRDefault="002E2A71" w:rsidP="00E532F6">
      <w:pPr>
        <w:numPr>
          <w:ilvl w:val="0"/>
          <w:numId w:val="7"/>
        </w:numPr>
        <w:spacing w:line="276" w:lineRule="auto"/>
        <w:ind w:left="-284" w:right="-569" w:firstLine="0"/>
        <w:jc w:val="both"/>
        <w:rPr>
          <w:sz w:val="18"/>
          <w:szCs w:val="18"/>
        </w:rPr>
      </w:pPr>
      <w:r w:rsidRPr="00274EA5">
        <w:rPr>
          <w:sz w:val="18"/>
          <w:szCs w:val="18"/>
        </w:rPr>
        <w:t>T</w:t>
      </w:r>
      <w:r w:rsidR="007B7BF9" w:rsidRPr="00274EA5">
        <w:rPr>
          <w:sz w:val="18"/>
          <w:szCs w:val="18"/>
        </w:rPr>
        <w:t>URNITIN</w:t>
      </w:r>
      <w:r w:rsidRPr="00274EA5">
        <w:rPr>
          <w:sz w:val="18"/>
          <w:szCs w:val="18"/>
        </w:rPr>
        <w:t xml:space="preserve"> </w:t>
      </w:r>
      <w:r w:rsidR="00DD068D" w:rsidRPr="00274EA5">
        <w:rPr>
          <w:sz w:val="18"/>
          <w:szCs w:val="18"/>
        </w:rPr>
        <w:t xml:space="preserve">intihal </w:t>
      </w:r>
      <w:r w:rsidR="007B7BF9" w:rsidRPr="00274EA5">
        <w:rPr>
          <w:sz w:val="18"/>
          <w:szCs w:val="18"/>
        </w:rPr>
        <w:t>raporu</w:t>
      </w:r>
      <w:r w:rsidRPr="00274EA5">
        <w:rPr>
          <w:sz w:val="18"/>
          <w:szCs w:val="18"/>
        </w:rPr>
        <w:t xml:space="preserve"> alındıktan sonra tezin üzerinde herhangi</w:t>
      </w:r>
      <w:r w:rsidR="007B7BF9" w:rsidRPr="00274EA5">
        <w:rPr>
          <w:sz w:val="18"/>
          <w:szCs w:val="18"/>
        </w:rPr>
        <w:t xml:space="preserve"> bir değişiklik yapılmamalıdır, bu öğrencinin sorumluluğundadır.</w:t>
      </w:r>
    </w:p>
    <w:p w:rsidR="002E2A71" w:rsidRPr="00274EA5" w:rsidRDefault="002E2A71" w:rsidP="00E532F6">
      <w:pPr>
        <w:numPr>
          <w:ilvl w:val="0"/>
          <w:numId w:val="7"/>
        </w:numPr>
        <w:spacing w:line="276" w:lineRule="auto"/>
        <w:ind w:left="-284" w:right="-569" w:firstLine="0"/>
        <w:jc w:val="both"/>
        <w:rPr>
          <w:sz w:val="18"/>
          <w:szCs w:val="18"/>
        </w:rPr>
      </w:pPr>
      <w:r w:rsidRPr="00274EA5">
        <w:rPr>
          <w:sz w:val="18"/>
          <w:szCs w:val="18"/>
        </w:rPr>
        <w:t>Öğrencilerimizin diğer üniversitelerde yaptırdıkları intihal raporlamalarında T</w:t>
      </w:r>
      <w:r w:rsidR="007B7BF9" w:rsidRPr="00274EA5">
        <w:rPr>
          <w:sz w:val="18"/>
          <w:szCs w:val="18"/>
        </w:rPr>
        <w:t>URNITIN</w:t>
      </w:r>
      <w:r w:rsidRPr="00274EA5">
        <w:rPr>
          <w:sz w:val="18"/>
          <w:szCs w:val="18"/>
        </w:rPr>
        <w:t xml:space="preserve"> arşivine (depo</w:t>
      </w:r>
      <w:r w:rsidR="00DD068D" w:rsidRPr="00274EA5">
        <w:rPr>
          <w:sz w:val="18"/>
          <w:szCs w:val="18"/>
        </w:rPr>
        <w:t>ya</w:t>
      </w:r>
      <w:r w:rsidRPr="00274EA5">
        <w:rPr>
          <w:sz w:val="18"/>
          <w:szCs w:val="18"/>
        </w:rPr>
        <w:t xml:space="preserve">) atılan tezlerden dolayı benzerlik oranı enstitümüz değerlendirmesinde %100 olarak çıkmakta ve bu durumun düzeltilmesi </w:t>
      </w:r>
      <w:r w:rsidR="00DD068D" w:rsidRPr="00274EA5">
        <w:rPr>
          <w:sz w:val="18"/>
          <w:szCs w:val="18"/>
        </w:rPr>
        <w:t>ancak uygulamayı yapan</w:t>
      </w:r>
      <w:r w:rsidR="00ED2F4B" w:rsidRPr="00274EA5">
        <w:rPr>
          <w:sz w:val="18"/>
          <w:szCs w:val="18"/>
        </w:rPr>
        <w:t xml:space="preserve"> Üniversitenin ilgili</w:t>
      </w:r>
      <w:r w:rsidR="00DD068D" w:rsidRPr="00274EA5">
        <w:rPr>
          <w:sz w:val="18"/>
          <w:szCs w:val="18"/>
        </w:rPr>
        <w:t xml:space="preserve"> birim</w:t>
      </w:r>
      <w:r w:rsidR="00ED2F4B" w:rsidRPr="00274EA5">
        <w:rPr>
          <w:sz w:val="18"/>
          <w:szCs w:val="18"/>
        </w:rPr>
        <w:t>i</w:t>
      </w:r>
      <w:r w:rsidR="00DD068D" w:rsidRPr="00274EA5">
        <w:rPr>
          <w:sz w:val="18"/>
          <w:szCs w:val="18"/>
        </w:rPr>
        <w:t xml:space="preserve"> tarafından uzun süren yazışmalar sonrasında düzeltilebilmektedir. Bu duruma düşmemeye dikkat edilmelidir.</w:t>
      </w:r>
    </w:p>
    <w:p w:rsidR="002E2A71" w:rsidRPr="00274EA5" w:rsidRDefault="002E2A71" w:rsidP="00E532F6">
      <w:pPr>
        <w:numPr>
          <w:ilvl w:val="0"/>
          <w:numId w:val="7"/>
        </w:numPr>
        <w:spacing w:line="276" w:lineRule="auto"/>
        <w:ind w:left="-284" w:right="-569" w:firstLine="0"/>
        <w:jc w:val="both"/>
        <w:rPr>
          <w:sz w:val="18"/>
          <w:szCs w:val="18"/>
        </w:rPr>
      </w:pPr>
      <w:r w:rsidRPr="00274EA5">
        <w:rPr>
          <w:sz w:val="18"/>
          <w:szCs w:val="18"/>
        </w:rPr>
        <w:t xml:space="preserve">Enstitüye </w:t>
      </w:r>
      <w:r w:rsidR="00A103BD" w:rsidRPr="00274EA5">
        <w:rPr>
          <w:sz w:val="18"/>
          <w:szCs w:val="18"/>
        </w:rPr>
        <w:t>CD ile teslim edilen</w:t>
      </w:r>
      <w:r w:rsidRPr="00274EA5">
        <w:rPr>
          <w:sz w:val="18"/>
          <w:szCs w:val="18"/>
        </w:rPr>
        <w:t xml:space="preserve"> doktora ya da yüksek lisans tezi word (.doc ve .docx) dosyasının maksimum 40 MB limit ve 400 sayfa üst sınırını geçmemesi, T</w:t>
      </w:r>
      <w:r w:rsidR="00ED2F4B" w:rsidRPr="00274EA5">
        <w:rPr>
          <w:sz w:val="18"/>
          <w:szCs w:val="18"/>
        </w:rPr>
        <w:t>URNITIN</w:t>
      </w:r>
      <w:r w:rsidRPr="00274EA5">
        <w:rPr>
          <w:sz w:val="18"/>
          <w:szCs w:val="18"/>
        </w:rPr>
        <w:t xml:space="preserve"> programı tarafından izin verilen maksimum sınırlardır. Dosya büyüklüğüne neden olan tez içerisindeki</w:t>
      </w:r>
      <w:r w:rsidR="00ED2F4B" w:rsidRPr="00274EA5">
        <w:rPr>
          <w:sz w:val="18"/>
          <w:szCs w:val="18"/>
        </w:rPr>
        <w:t>; excel’de hazırlanan grafikler, tablolar ve tüm fotoğrafların</w:t>
      </w:r>
      <w:r w:rsidRPr="00274EA5">
        <w:rPr>
          <w:sz w:val="18"/>
          <w:szCs w:val="18"/>
        </w:rPr>
        <w:t xml:space="preserve"> </w:t>
      </w:r>
      <w:r w:rsidR="00ED2F4B" w:rsidRPr="00274EA5">
        <w:rPr>
          <w:sz w:val="18"/>
          <w:szCs w:val="18"/>
        </w:rPr>
        <w:t>(</w:t>
      </w:r>
      <w:r w:rsidR="00A103BD" w:rsidRPr="00274EA5">
        <w:rPr>
          <w:sz w:val="18"/>
          <w:szCs w:val="18"/>
        </w:rPr>
        <w:t>yüksek pikselli</w:t>
      </w:r>
      <w:r w:rsidR="00ED2F4B" w:rsidRPr="00274EA5">
        <w:rPr>
          <w:sz w:val="18"/>
          <w:szCs w:val="18"/>
        </w:rPr>
        <w:t>)</w:t>
      </w:r>
      <w:r w:rsidRPr="00274EA5">
        <w:rPr>
          <w:sz w:val="18"/>
          <w:szCs w:val="18"/>
        </w:rPr>
        <w:t xml:space="preserve"> çıkarılması gereklidir.</w:t>
      </w:r>
    </w:p>
    <w:p w:rsidR="002E2A71" w:rsidRPr="00274EA5" w:rsidRDefault="002E2A71" w:rsidP="00E532F6">
      <w:pPr>
        <w:numPr>
          <w:ilvl w:val="0"/>
          <w:numId w:val="7"/>
        </w:numPr>
        <w:spacing w:line="276" w:lineRule="auto"/>
        <w:ind w:left="-284" w:right="-569" w:firstLine="0"/>
        <w:jc w:val="both"/>
        <w:rPr>
          <w:sz w:val="18"/>
          <w:szCs w:val="18"/>
        </w:rPr>
      </w:pPr>
      <w:r w:rsidRPr="00274EA5">
        <w:rPr>
          <w:sz w:val="18"/>
          <w:szCs w:val="18"/>
        </w:rPr>
        <w:t xml:space="preserve">Gönderilecek word dokümana ait şablon enstitü web sayfası formlar kısmında </w:t>
      </w:r>
      <w:r w:rsidRPr="00274EA5">
        <w:rPr>
          <w:b/>
          <w:sz w:val="18"/>
          <w:szCs w:val="18"/>
        </w:rPr>
        <w:t>(Tez İntihal Raporu Dosya Şablonu)</w:t>
      </w:r>
      <w:r w:rsidRPr="00274EA5">
        <w:rPr>
          <w:sz w:val="18"/>
          <w:szCs w:val="18"/>
        </w:rPr>
        <w:t xml:space="preserve"> yer almaktadır. Tezin bu şablona uygun hazırlanarak enstitüye </w:t>
      </w:r>
      <w:r w:rsidR="00A103BD" w:rsidRPr="00274EA5">
        <w:rPr>
          <w:sz w:val="18"/>
          <w:szCs w:val="18"/>
        </w:rPr>
        <w:t>CD ile teslim edil</w:t>
      </w:r>
      <w:r w:rsidRPr="00274EA5">
        <w:rPr>
          <w:sz w:val="18"/>
          <w:szCs w:val="18"/>
        </w:rPr>
        <w:t>mesi gerekmektedir.</w:t>
      </w:r>
    </w:p>
    <w:p w:rsidR="002E2A71" w:rsidRPr="00274EA5" w:rsidRDefault="002E2A71" w:rsidP="00E532F6">
      <w:pPr>
        <w:numPr>
          <w:ilvl w:val="0"/>
          <w:numId w:val="7"/>
        </w:numPr>
        <w:spacing w:line="276" w:lineRule="auto"/>
        <w:ind w:left="-284" w:right="-569" w:firstLine="0"/>
        <w:jc w:val="both"/>
        <w:rPr>
          <w:b/>
          <w:sz w:val="18"/>
          <w:szCs w:val="18"/>
          <w:u w:val="single"/>
        </w:rPr>
      </w:pPr>
      <w:r w:rsidRPr="00274EA5">
        <w:rPr>
          <w:b/>
          <w:sz w:val="18"/>
          <w:szCs w:val="18"/>
          <w:u w:val="single"/>
        </w:rPr>
        <w:t>Word</w:t>
      </w:r>
      <w:r w:rsidR="006D515A" w:rsidRPr="00274EA5">
        <w:rPr>
          <w:b/>
          <w:sz w:val="18"/>
          <w:szCs w:val="18"/>
          <w:u w:val="single"/>
        </w:rPr>
        <w:t xml:space="preserve"> doc.</w:t>
      </w:r>
      <w:r w:rsidRPr="00274EA5">
        <w:rPr>
          <w:b/>
          <w:sz w:val="18"/>
          <w:szCs w:val="18"/>
          <w:u w:val="single"/>
        </w:rPr>
        <w:t xml:space="preserve"> dosya</w:t>
      </w:r>
      <w:r w:rsidR="006D515A" w:rsidRPr="00274EA5">
        <w:rPr>
          <w:b/>
          <w:sz w:val="18"/>
          <w:szCs w:val="18"/>
          <w:u w:val="single"/>
        </w:rPr>
        <w:t>nın</w:t>
      </w:r>
      <w:r w:rsidRPr="00274EA5">
        <w:rPr>
          <w:b/>
          <w:sz w:val="18"/>
          <w:szCs w:val="18"/>
          <w:u w:val="single"/>
        </w:rPr>
        <w:t xml:space="preserve"> içerisinde</w:t>
      </w:r>
      <w:r w:rsidR="001C4676" w:rsidRPr="00274EA5">
        <w:rPr>
          <w:rFonts w:eastAsia="ヒラギノ明朝 Pro W3"/>
          <w:b/>
          <w:sz w:val="18"/>
          <w:szCs w:val="18"/>
          <w:u w:val="single"/>
        </w:rPr>
        <w:t xml:space="preserve"> (word doc. dosya adı “tezin başlığı” olmalıdır)</w:t>
      </w:r>
      <w:r w:rsidRPr="00274EA5">
        <w:rPr>
          <w:b/>
          <w:sz w:val="18"/>
          <w:szCs w:val="18"/>
          <w:u w:val="single"/>
        </w:rPr>
        <w:t xml:space="preserve"> “Kapak-Türkçe Özet- İngilizce Özet- Giriş ve Amaç-Genel Bilgiler-Gereç ve Yöntem-Bulgular</w:t>
      </w:r>
      <w:r w:rsidR="006D515A" w:rsidRPr="00274EA5">
        <w:rPr>
          <w:b/>
          <w:sz w:val="18"/>
          <w:szCs w:val="18"/>
          <w:u w:val="single"/>
        </w:rPr>
        <w:t xml:space="preserve"> </w:t>
      </w:r>
      <w:r w:rsidRPr="00274EA5">
        <w:rPr>
          <w:b/>
          <w:sz w:val="18"/>
          <w:szCs w:val="18"/>
          <w:u w:val="single"/>
        </w:rPr>
        <w:t>-Tartışma ve Kaynaklar” kısımları yer almalıdır.</w:t>
      </w:r>
    </w:p>
    <w:p w:rsidR="002E2A71" w:rsidRPr="00274EA5" w:rsidRDefault="002E2A71" w:rsidP="00E532F6">
      <w:pPr>
        <w:numPr>
          <w:ilvl w:val="0"/>
          <w:numId w:val="7"/>
        </w:numPr>
        <w:spacing w:line="276" w:lineRule="auto"/>
        <w:ind w:left="-284" w:right="-569" w:firstLine="0"/>
        <w:jc w:val="both"/>
        <w:rPr>
          <w:sz w:val="18"/>
          <w:szCs w:val="18"/>
        </w:rPr>
      </w:pPr>
      <w:r w:rsidRPr="00274EA5">
        <w:rPr>
          <w:b/>
          <w:sz w:val="18"/>
          <w:szCs w:val="18"/>
        </w:rPr>
        <w:t>Bu kısımların dışındaki “fotoğraflar,</w:t>
      </w:r>
      <w:r w:rsidR="00C46325">
        <w:rPr>
          <w:b/>
          <w:sz w:val="18"/>
          <w:szCs w:val="18"/>
        </w:rPr>
        <w:t xml:space="preserve"> grafikler, tablolar,</w:t>
      </w:r>
      <w:r w:rsidRPr="00274EA5">
        <w:rPr>
          <w:b/>
          <w:sz w:val="18"/>
          <w:szCs w:val="18"/>
        </w:rPr>
        <w:t xml:space="preserve"> tez onayı, beyan, ithaf, teşekkür, içindekiler, tablo listesi, şekil listesi, kısaltmalar, ekler, formlar, ham veriler, kurum izin yazıları, etik kurul raporları, hasta onam formları, özgeçmiş</w:t>
      </w:r>
      <w:r w:rsidR="006D515A" w:rsidRPr="00274EA5">
        <w:rPr>
          <w:b/>
          <w:sz w:val="18"/>
          <w:szCs w:val="18"/>
        </w:rPr>
        <w:t xml:space="preserve">, bulgular kısmındaki istatistiki önem dereceleri gibi </w:t>
      </w:r>
      <w:r w:rsidRPr="00274EA5">
        <w:rPr>
          <w:b/>
          <w:sz w:val="18"/>
          <w:szCs w:val="18"/>
        </w:rPr>
        <w:t xml:space="preserve">kısımlar” </w:t>
      </w:r>
      <w:r w:rsidR="00C46325">
        <w:rPr>
          <w:b/>
          <w:sz w:val="18"/>
          <w:szCs w:val="18"/>
        </w:rPr>
        <w:t xml:space="preserve">çıkarılmalı ve </w:t>
      </w:r>
      <w:r w:rsidRPr="00274EA5">
        <w:rPr>
          <w:b/>
          <w:sz w:val="18"/>
          <w:szCs w:val="18"/>
          <w:u w:val="single"/>
        </w:rPr>
        <w:t xml:space="preserve">intihal </w:t>
      </w:r>
      <w:r w:rsidR="00405168" w:rsidRPr="00274EA5">
        <w:rPr>
          <w:b/>
          <w:sz w:val="18"/>
          <w:szCs w:val="18"/>
          <w:u w:val="single"/>
        </w:rPr>
        <w:t>şablonuna uygun olarak hazırlanmalıdır</w:t>
      </w:r>
      <w:r w:rsidRPr="00274EA5">
        <w:rPr>
          <w:b/>
          <w:sz w:val="18"/>
          <w:szCs w:val="18"/>
          <w:u w:val="single"/>
        </w:rPr>
        <w:t>.</w:t>
      </w:r>
    </w:p>
    <w:p w:rsidR="005E4C36" w:rsidRDefault="002E2A71" w:rsidP="00E532F6">
      <w:pPr>
        <w:numPr>
          <w:ilvl w:val="0"/>
          <w:numId w:val="7"/>
        </w:numPr>
        <w:spacing w:line="276" w:lineRule="auto"/>
        <w:ind w:left="-284" w:right="-569" w:firstLine="0"/>
        <w:jc w:val="both"/>
        <w:rPr>
          <w:sz w:val="18"/>
          <w:szCs w:val="18"/>
        </w:rPr>
      </w:pPr>
      <w:r w:rsidRPr="00274EA5">
        <w:rPr>
          <w:sz w:val="18"/>
          <w:szCs w:val="18"/>
        </w:rPr>
        <w:t>İnti</w:t>
      </w:r>
      <w:r w:rsidR="006D515A" w:rsidRPr="00274EA5">
        <w:rPr>
          <w:sz w:val="18"/>
          <w:szCs w:val="18"/>
        </w:rPr>
        <w:t>hal raporu değerlendirmesinde %2</w:t>
      </w:r>
      <w:r w:rsidRPr="00274EA5">
        <w:rPr>
          <w:sz w:val="18"/>
          <w:szCs w:val="18"/>
        </w:rPr>
        <w:t>0’</w:t>
      </w:r>
      <w:r w:rsidR="006D515A" w:rsidRPr="00274EA5">
        <w:rPr>
          <w:sz w:val="18"/>
          <w:szCs w:val="18"/>
        </w:rPr>
        <w:t>nin</w:t>
      </w:r>
      <w:r w:rsidRPr="00274EA5">
        <w:rPr>
          <w:sz w:val="18"/>
          <w:szCs w:val="18"/>
        </w:rPr>
        <w:t xml:space="preserve"> üzerinde çıkan tezlerin raporu </w:t>
      </w:r>
      <w:r w:rsidR="007B7BF9" w:rsidRPr="00274EA5">
        <w:rPr>
          <w:sz w:val="18"/>
          <w:szCs w:val="18"/>
        </w:rPr>
        <w:t>danışmanına ve öğrenciye</w:t>
      </w:r>
      <w:r w:rsidRPr="00274EA5">
        <w:rPr>
          <w:sz w:val="18"/>
          <w:szCs w:val="18"/>
        </w:rPr>
        <w:t xml:space="preserve"> geri gönderilmektedir. Gerekli düzeltmeler y</w:t>
      </w:r>
      <w:r w:rsidR="007B7BF9" w:rsidRPr="00274EA5">
        <w:rPr>
          <w:sz w:val="18"/>
          <w:szCs w:val="18"/>
        </w:rPr>
        <w:t>apıldıktan sonra tekrar TURNITIN</w:t>
      </w:r>
      <w:r w:rsidRPr="00274EA5">
        <w:rPr>
          <w:sz w:val="18"/>
          <w:szCs w:val="18"/>
        </w:rPr>
        <w:t xml:space="preserve"> r</w:t>
      </w:r>
      <w:r w:rsidR="004816FE" w:rsidRPr="00274EA5">
        <w:rPr>
          <w:sz w:val="18"/>
          <w:szCs w:val="18"/>
        </w:rPr>
        <w:t>aporu</w:t>
      </w:r>
      <w:r w:rsidR="0002647D" w:rsidRPr="00274EA5">
        <w:rPr>
          <w:sz w:val="18"/>
          <w:szCs w:val="18"/>
        </w:rPr>
        <w:t>nun alınması</w:t>
      </w:r>
      <w:r w:rsidR="004816FE" w:rsidRPr="00274EA5">
        <w:rPr>
          <w:sz w:val="18"/>
          <w:szCs w:val="18"/>
        </w:rPr>
        <w:t xml:space="preserve"> için </w:t>
      </w:r>
      <w:r w:rsidR="0002647D" w:rsidRPr="00274EA5">
        <w:rPr>
          <w:sz w:val="18"/>
          <w:szCs w:val="18"/>
        </w:rPr>
        <w:t>bu form</w:t>
      </w:r>
      <w:r w:rsidRPr="00274EA5">
        <w:rPr>
          <w:sz w:val="18"/>
          <w:szCs w:val="18"/>
        </w:rPr>
        <w:t xml:space="preserve"> ve </w:t>
      </w:r>
      <w:r w:rsidR="00405168" w:rsidRPr="00274EA5">
        <w:rPr>
          <w:sz w:val="18"/>
          <w:szCs w:val="18"/>
        </w:rPr>
        <w:t xml:space="preserve">yeni </w:t>
      </w:r>
      <w:r w:rsidRPr="00274EA5">
        <w:rPr>
          <w:sz w:val="18"/>
          <w:szCs w:val="18"/>
        </w:rPr>
        <w:t xml:space="preserve">CD ile </w:t>
      </w:r>
      <w:r w:rsidR="007B7BF9" w:rsidRPr="00274EA5">
        <w:rPr>
          <w:sz w:val="18"/>
          <w:szCs w:val="18"/>
        </w:rPr>
        <w:t>danışmanın</w:t>
      </w:r>
      <w:r w:rsidRPr="00274EA5">
        <w:rPr>
          <w:sz w:val="18"/>
          <w:szCs w:val="18"/>
        </w:rPr>
        <w:t xml:space="preserve"> </w:t>
      </w:r>
      <w:r w:rsidR="000C0D09" w:rsidRPr="00274EA5">
        <w:rPr>
          <w:sz w:val="18"/>
          <w:szCs w:val="18"/>
        </w:rPr>
        <w:t>Anabilim Dalı Program Başkanlığı</w:t>
      </w:r>
      <w:r w:rsidR="00B354A1" w:rsidRPr="00274EA5">
        <w:rPr>
          <w:sz w:val="18"/>
          <w:szCs w:val="18"/>
        </w:rPr>
        <w:t xml:space="preserve"> aracılığıyla </w:t>
      </w:r>
      <w:r w:rsidR="000C0D09" w:rsidRPr="00274EA5">
        <w:rPr>
          <w:sz w:val="18"/>
          <w:szCs w:val="18"/>
        </w:rPr>
        <w:t xml:space="preserve">enstitüye </w:t>
      </w:r>
      <w:r w:rsidRPr="00274EA5">
        <w:rPr>
          <w:sz w:val="18"/>
          <w:szCs w:val="18"/>
        </w:rPr>
        <w:t>başvurması gerekmektedir.</w:t>
      </w:r>
    </w:p>
    <w:p w:rsidR="00274EA5" w:rsidRPr="00274EA5" w:rsidRDefault="00274EA5" w:rsidP="00274EA5">
      <w:pPr>
        <w:spacing w:line="276" w:lineRule="auto"/>
        <w:ind w:left="-284" w:right="-569"/>
        <w:jc w:val="both"/>
        <w:rPr>
          <w:sz w:val="18"/>
          <w:szCs w:val="18"/>
        </w:rPr>
      </w:pPr>
    </w:p>
    <w:p w:rsidR="00DA6FAE" w:rsidRPr="0012386D" w:rsidRDefault="00DA6FAE" w:rsidP="0002647D">
      <w:pPr>
        <w:pBdr>
          <w:top w:val="single" w:sz="4" w:space="1" w:color="auto"/>
          <w:left w:val="single" w:sz="4" w:space="4" w:color="auto"/>
          <w:bottom w:val="single" w:sz="4" w:space="1" w:color="auto"/>
          <w:right w:val="single" w:sz="4" w:space="4" w:color="auto"/>
        </w:pBdr>
        <w:ind w:left="-567" w:right="-567"/>
        <w:jc w:val="both"/>
        <w:rPr>
          <w:b/>
          <w:sz w:val="20"/>
          <w:szCs w:val="20"/>
        </w:rPr>
      </w:pPr>
      <w:r w:rsidRPr="0012386D">
        <w:rPr>
          <w:b/>
          <w:sz w:val="20"/>
          <w:szCs w:val="20"/>
        </w:rPr>
        <w:t>İSTANBUL ÜNİVERSİTESİ LİSANSÜSTÜ EĞİTİM VE ÖĞRETİM YÖNETMELİĞİ (08.09.2016/29825)</w:t>
      </w:r>
    </w:p>
    <w:p w:rsidR="00D82EA5" w:rsidRPr="0012386D" w:rsidRDefault="00D82EA5" w:rsidP="0002647D">
      <w:pPr>
        <w:pBdr>
          <w:top w:val="single" w:sz="4" w:space="1" w:color="auto"/>
          <w:left w:val="single" w:sz="4" w:space="4" w:color="auto"/>
          <w:bottom w:val="single" w:sz="4" w:space="1" w:color="auto"/>
          <w:right w:val="single" w:sz="4" w:space="4" w:color="auto"/>
        </w:pBdr>
        <w:ind w:left="-567" w:right="-567"/>
        <w:jc w:val="both"/>
        <w:rPr>
          <w:b/>
          <w:sz w:val="20"/>
          <w:szCs w:val="20"/>
        </w:rPr>
      </w:pPr>
      <w:r w:rsidRPr="0012386D">
        <w:rPr>
          <w:b/>
          <w:sz w:val="20"/>
          <w:szCs w:val="20"/>
        </w:rPr>
        <w:t>Tezin Sonuçlanması</w:t>
      </w:r>
    </w:p>
    <w:p w:rsidR="00D82EA5" w:rsidRPr="00274EA5" w:rsidRDefault="00D82EA5" w:rsidP="0002647D">
      <w:pPr>
        <w:pBdr>
          <w:top w:val="single" w:sz="4" w:space="1" w:color="auto"/>
          <w:left w:val="single" w:sz="4" w:space="4" w:color="auto"/>
          <w:bottom w:val="single" w:sz="4" w:space="1" w:color="auto"/>
          <w:right w:val="single" w:sz="4" w:space="4" w:color="auto"/>
        </w:pBdr>
        <w:ind w:left="-567" w:right="-567"/>
        <w:jc w:val="both"/>
        <w:rPr>
          <w:sz w:val="18"/>
          <w:szCs w:val="18"/>
        </w:rPr>
      </w:pPr>
      <w:r>
        <w:rPr>
          <w:b/>
          <w:sz w:val="18"/>
          <w:szCs w:val="18"/>
        </w:rPr>
        <w:t>MADDE 36 – (2</w:t>
      </w:r>
      <w:r w:rsidR="00477F76" w:rsidRPr="00274EA5">
        <w:rPr>
          <w:b/>
          <w:sz w:val="18"/>
          <w:szCs w:val="18"/>
        </w:rPr>
        <w:t xml:space="preserve">) </w:t>
      </w:r>
      <w:r w:rsidRPr="00D82EA5">
        <w:rPr>
          <w:sz w:val="20"/>
          <w:szCs w:val="20"/>
        </w:rPr>
        <w:t>Tezle ilgili benzerlik ön incelemesi</w:t>
      </w:r>
      <w:r w:rsidRPr="008624E2">
        <w:rPr>
          <w:b/>
          <w:sz w:val="20"/>
          <w:szCs w:val="20"/>
        </w:rPr>
        <w:t>, danışmanın bilgisi dahilinde</w:t>
      </w:r>
      <w:r w:rsidRPr="00D82EA5">
        <w:rPr>
          <w:sz w:val="20"/>
          <w:szCs w:val="20"/>
        </w:rPr>
        <w:t xml:space="preserve"> öğrenci ile birlikte Üniversitenin kabul ettiği yazılım programı kullanılarak yapılır. Enstitü, söz konusu teze ilişkin intihal yazılım programı nihaî raporunu alarak danışmana ve jüri üyelerine gönderir. Rapordaki verilerde veya sınav jüri üyesi/üyelerinin somut kanıtlarla belgeledikleri verilere göre gerçek bir intihalin tespiti halinde; tez, gerekçesi ile birlikte, karar verilmek üzere enstitü yönetim kuruluna gönderilir.</w:t>
      </w:r>
    </w:p>
    <w:sectPr w:rsidR="00D82EA5" w:rsidRPr="00274EA5" w:rsidSect="009C0F8B">
      <w:pgSz w:w="11906" w:h="16838" w:code="9"/>
      <w:pgMar w:top="851" w:right="1416" w:bottom="567" w:left="1418" w:header="0" w:footer="0"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6DDD" w:rsidRDefault="00026DDD" w:rsidP="005E4C36">
      <w:r>
        <w:separator/>
      </w:r>
    </w:p>
  </w:endnote>
  <w:endnote w:type="continuationSeparator" w:id="0">
    <w:p w:rsidR="00026DDD" w:rsidRDefault="00026DDD" w:rsidP="005E4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ヒラギノ明朝 Pro W3">
    <w:altName w:val="MS Mincho"/>
    <w:charset w:val="80"/>
    <w:family w:val="auto"/>
    <w:pitch w:val="variable"/>
    <w:sig w:usb0="00000001" w:usb1="08070000" w:usb2="01000417" w:usb3="00000000" w:csb0="00020000"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6DDD" w:rsidRDefault="00026DDD" w:rsidP="005E4C36">
      <w:r>
        <w:separator/>
      </w:r>
    </w:p>
  </w:footnote>
  <w:footnote w:type="continuationSeparator" w:id="0">
    <w:p w:rsidR="00026DDD" w:rsidRDefault="00026DDD" w:rsidP="005E4C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23EB3"/>
    <w:multiLevelType w:val="hybridMultilevel"/>
    <w:tmpl w:val="196A3CC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FC29E5"/>
    <w:multiLevelType w:val="hybridMultilevel"/>
    <w:tmpl w:val="C03A092A"/>
    <w:lvl w:ilvl="0" w:tplc="C96839F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9CD7713"/>
    <w:multiLevelType w:val="multilevel"/>
    <w:tmpl w:val="196A3CC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0F6E9C"/>
    <w:multiLevelType w:val="hybridMultilevel"/>
    <w:tmpl w:val="8CCA929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65314E63"/>
    <w:multiLevelType w:val="hybridMultilevel"/>
    <w:tmpl w:val="00181678"/>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6E9B73A1"/>
    <w:multiLevelType w:val="hybridMultilevel"/>
    <w:tmpl w:val="858E3AFE"/>
    <w:lvl w:ilvl="0" w:tplc="FEE645AE">
      <w:start w:val="1"/>
      <w:numFmt w:val="decimal"/>
      <w:lvlText w:val="%1-"/>
      <w:lvlJc w:val="left"/>
      <w:pPr>
        <w:ind w:left="720" w:hanging="360"/>
      </w:pPr>
      <w:rPr>
        <w:rFonts w:hint="default"/>
        <w:b/>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7D753B7"/>
    <w:multiLevelType w:val="hybridMultilevel"/>
    <w:tmpl w:val="C2A82C14"/>
    <w:lvl w:ilvl="0" w:tplc="041F0009">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6"/>
  </w:num>
  <w:num w:numId="4">
    <w:abstractNumId w:val="4"/>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026"/>
    <w:rsid w:val="000016A5"/>
    <w:rsid w:val="000119AC"/>
    <w:rsid w:val="00011F74"/>
    <w:rsid w:val="00023E14"/>
    <w:rsid w:val="0002647D"/>
    <w:rsid w:val="00026DDD"/>
    <w:rsid w:val="00041316"/>
    <w:rsid w:val="000C0D09"/>
    <w:rsid w:val="00100DB2"/>
    <w:rsid w:val="0012386D"/>
    <w:rsid w:val="00177AAC"/>
    <w:rsid w:val="00191D8F"/>
    <w:rsid w:val="001B7B54"/>
    <w:rsid w:val="001C4676"/>
    <w:rsid w:val="001F5F92"/>
    <w:rsid w:val="00204A61"/>
    <w:rsid w:val="0020737D"/>
    <w:rsid w:val="00232511"/>
    <w:rsid w:val="00245685"/>
    <w:rsid w:val="00274EA5"/>
    <w:rsid w:val="002C74C5"/>
    <w:rsid w:val="002D1A9C"/>
    <w:rsid w:val="002E2A71"/>
    <w:rsid w:val="002E2A75"/>
    <w:rsid w:val="0033186D"/>
    <w:rsid w:val="003728F6"/>
    <w:rsid w:val="00374DEE"/>
    <w:rsid w:val="00385F29"/>
    <w:rsid w:val="00396BB4"/>
    <w:rsid w:val="003E09EE"/>
    <w:rsid w:val="003E3540"/>
    <w:rsid w:val="003F5300"/>
    <w:rsid w:val="00405168"/>
    <w:rsid w:val="00415429"/>
    <w:rsid w:val="004249F4"/>
    <w:rsid w:val="004409B6"/>
    <w:rsid w:val="004657C1"/>
    <w:rsid w:val="00477F76"/>
    <w:rsid w:val="004816FE"/>
    <w:rsid w:val="004A2D6E"/>
    <w:rsid w:val="004C4BAE"/>
    <w:rsid w:val="004C5380"/>
    <w:rsid w:val="005054D8"/>
    <w:rsid w:val="005217E9"/>
    <w:rsid w:val="00550F08"/>
    <w:rsid w:val="00556320"/>
    <w:rsid w:val="00561DA0"/>
    <w:rsid w:val="00562CFE"/>
    <w:rsid w:val="005756E4"/>
    <w:rsid w:val="005926B5"/>
    <w:rsid w:val="005A7DB3"/>
    <w:rsid w:val="005C273A"/>
    <w:rsid w:val="005E4C36"/>
    <w:rsid w:val="005E5F11"/>
    <w:rsid w:val="005E7D63"/>
    <w:rsid w:val="006044A5"/>
    <w:rsid w:val="00625245"/>
    <w:rsid w:val="0063086C"/>
    <w:rsid w:val="00632153"/>
    <w:rsid w:val="006815DA"/>
    <w:rsid w:val="006C4607"/>
    <w:rsid w:val="006D515A"/>
    <w:rsid w:val="006F639B"/>
    <w:rsid w:val="00711B94"/>
    <w:rsid w:val="00717A07"/>
    <w:rsid w:val="00795895"/>
    <w:rsid w:val="007B7BF9"/>
    <w:rsid w:val="007C4C88"/>
    <w:rsid w:val="007C5F2D"/>
    <w:rsid w:val="007D1789"/>
    <w:rsid w:val="007F16A9"/>
    <w:rsid w:val="00811375"/>
    <w:rsid w:val="00842A03"/>
    <w:rsid w:val="00842D68"/>
    <w:rsid w:val="008624E2"/>
    <w:rsid w:val="0086784B"/>
    <w:rsid w:val="00875E97"/>
    <w:rsid w:val="00885505"/>
    <w:rsid w:val="008A3E64"/>
    <w:rsid w:val="0095720D"/>
    <w:rsid w:val="009666C5"/>
    <w:rsid w:val="00966CBB"/>
    <w:rsid w:val="009677EF"/>
    <w:rsid w:val="00996CD0"/>
    <w:rsid w:val="009A2585"/>
    <w:rsid w:val="009A7F2E"/>
    <w:rsid w:val="009C0F8B"/>
    <w:rsid w:val="009E6ACA"/>
    <w:rsid w:val="00A07F53"/>
    <w:rsid w:val="00A103BD"/>
    <w:rsid w:val="00A7506E"/>
    <w:rsid w:val="00A822F0"/>
    <w:rsid w:val="00A93763"/>
    <w:rsid w:val="00AA5C08"/>
    <w:rsid w:val="00AC1EE2"/>
    <w:rsid w:val="00AE503E"/>
    <w:rsid w:val="00AF3A11"/>
    <w:rsid w:val="00B05B73"/>
    <w:rsid w:val="00B354A1"/>
    <w:rsid w:val="00B40026"/>
    <w:rsid w:val="00B76E93"/>
    <w:rsid w:val="00B95444"/>
    <w:rsid w:val="00BA71F3"/>
    <w:rsid w:val="00BD1E15"/>
    <w:rsid w:val="00C22FC4"/>
    <w:rsid w:val="00C46325"/>
    <w:rsid w:val="00C51351"/>
    <w:rsid w:val="00C56914"/>
    <w:rsid w:val="00C83C1F"/>
    <w:rsid w:val="00CD0CEE"/>
    <w:rsid w:val="00CD19D5"/>
    <w:rsid w:val="00CE0DBE"/>
    <w:rsid w:val="00D2052F"/>
    <w:rsid w:val="00D609EB"/>
    <w:rsid w:val="00D70C85"/>
    <w:rsid w:val="00D82EA5"/>
    <w:rsid w:val="00D85999"/>
    <w:rsid w:val="00DA6FAE"/>
    <w:rsid w:val="00DC383D"/>
    <w:rsid w:val="00DD068D"/>
    <w:rsid w:val="00DD7EDF"/>
    <w:rsid w:val="00DE4095"/>
    <w:rsid w:val="00DF7566"/>
    <w:rsid w:val="00E027B0"/>
    <w:rsid w:val="00E11D32"/>
    <w:rsid w:val="00E532F6"/>
    <w:rsid w:val="00E71ACB"/>
    <w:rsid w:val="00E85CE7"/>
    <w:rsid w:val="00EA72DB"/>
    <w:rsid w:val="00EC07A2"/>
    <w:rsid w:val="00ED2F4B"/>
    <w:rsid w:val="00ED4195"/>
    <w:rsid w:val="00F37E35"/>
    <w:rsid w:val="00F4088A"/>
    <w:rsid w:val="00F45C87"/>
    <w:rsid w:val="00FA0598"/>
    <w:rsid w:val="00FC5A15"/>
    <w:rsid w:val="00FE21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4D0C04-0C7A-4055-A252-C2BC3C62B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0026"/>
    <w:rPr>
      <w:sz w:val="24"/>
      <w:szCs w:val="24"/>
    </w:rPr>
  </w:style>
  <w:style w:type="paragraph" w:styleId="Balk2">
    <w:name w:val="heading 2"/>
    <w:basedOn w:val="Normal"/>
    <w:next w:val="Normal"/>
    <w:qFormat/>
    <w:rsid w:val="00F37E35"/>
    <w:pPr>
      <w:keepNext/>
      <w:outlineLvl w:val="1"/>
    </w:pPr>
    <w:rPr>
      <w:rFonts w:ascii="Arial" w:hAnsi="Arial" w:cs="Arial"/>
      <w:b/>
      <w:bCs/>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A822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rsid w:val="00F37E35"/>
    <w:rPr>
      <w:rFonts w:ascii="Arial" w:hAnsi="Arial" w:cs="Arial"/>
      <w:sz w:val="20"/>
    </w:rPr>
  </w:style>
  <w:style w:type="paragraph" w:styleId="ListeParagraf">
    <w:name w:val="List Paragraph"/>
    <w:basedOn w:val="Normal"/>
    <w:qFormat/>
    <w:rsid w:val="00562CFE"/>
    <w:pPr>
      <w:ind w:left="720"/>
      <w:contextualSpacing/>
    </w:pPr>
    <w:rPr>
      <w:rFonts w:ascii="Calibri" w:eastAsia="Calibri" w:hAnsi="Calibri"/>
      <w:sz w:val="22"/>
      <w:szCs w:val="22"/>
      <w:lang w:eastAsia="en-US"/>
    </w:rPr>
  </w:style>
  <w:style w:type="paragraph" w:styleId="stbilgi">
    <w:name w:val="header"/>
    <w:basedOn w:val="Normal"/>
    <w:link w:val="stbilgiChar"/>
    <w:uiPriority w:val="99"/>
    <w:rsid w:val="005E4C36"/>
    <w:pPr>
      <w:tabs>
        <w:tab w:val="center" w:pos="4536"/>
        <w:tab w:val="right" w:pos="9072"/>
      </w:tabs>
    </w:pPr>
  </w:style>
  <w:style w:type="character" w:customStyle="1" w:styleId="stbilgiChar">
    <w:name w:val="Üstbilgi Char"/>
    <w:link w:val="stbilgi"/>
    <w:uiPriority w:val="99"/>
    <w:rsid w:val="005E4C36"/>
    <w:rPr>
      <w:sz w:val="24"/>
      <w:szCs w:val="24"/>
    </w:rPr>
  </w:style>
  <w:style w:type="paragraph" w:styleId="Altbilgi">
    <w:name w:val="footer"/>
    <w:basedOn w:val="Normal"/>
    <w:link w:val="AltbilgiChar"/>
    <w:rsid w:val="005E4C36"/>
    <w:pPr>
      <w:tabs>
        <w:tab w:val="center" w:pos="4536"/>
        <w:tab w:val="right" w:pos="9072"/>
      </w:tabs>
    </w:pPr>
  </w:style>
  <w:style w:type="character" w:customStyle="1" w:styleId="AltbilgiChar">
    <w:name w:val="Altbilgi Char"/>
    <w:link w:val="Altbilgi"/>
    <w:rsid w:val="005E4C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561</Words>
  <Characters>3200</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lpstr>
    </vt:vector>
  </TitlesOfParts>
  <Company>I.U</Company>
  <LinksUpToDate>false</LinksUpToDate>
  <CharactersWithSpaces>3754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PROF.DR.ALPER BARAN</dc:creator>
  <cp:keywords/>
  <cp:lastModifiedBy>PINAR KAÇAN</cp:lastModifiedBy>
  <cp:revision>2</cp:revision>
  <cp:lastPrinted>2013-11-01T10:30:00Z</cp:lastPrinted>
  <dcterms:created xsi:type="dcterms:W3CDTF">2018-04-09T06:15:00Z</dcterms:created>
  <dcterms:modified xsi:type="dcterms:W3CDTF">2018-04-09T06:15:00Z</dcterms:modified>
</cp:coreProperties>
</file>